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FB9" w14:textId="0C3A0FE3" w:rsidR="00F02A47" w:rsidRDefault="00F02A47" w:rsidP="00437DCE">
      <w:pPr>
        <w:pStyle w:val="Titre1"/>
        <w:rPr>
          <w:rFonts w:cs="Arial"/>
        </w:rPr>
      </w:pPr>
      <w:r>
        <w:rPr>
          <w:rFonts w:cs="Arial"/>
        </w:rPr>
        <w:t>Consultancy services: strategic transformation of the UPU headquarters building</w:t>
      </w:r>
    </w:p>
    <w:p w14:paraId="2447F607" w14:textId="77777777" w:rsidR="00F02A47" w:rsidRDefault="00F02A47" w:rsidP="00437DCE">
      <w:pPr>
        <w:pStyle w:val="Titre1"/>
        <w:rPr>
          <w:rFonts w:cs="Arial"/>
        </w:rPr>
      </w:pPr>
    </w:p>
    <w:p w14:paraId="653AF853" w14:textId="23B9A6FD" w:rsidR="00437DCE" w:rsidRPr="001A6114" w:rsidRDefault="00437DCE" w:rsidP="00437DCE">
      <w:pPr>
        <w:pStyle w:val="Titre1"/>
        <w:rPr>
          <w:rFonts w:cs="Arial"/>
        </w:rPr>
      </w:pPr>
      <w:r w:rsidRPr="001A6114">
        <w:rPr>
          <w:rFonts w:cs="Arial"/>
        </w:rPr>
        <w:t>Commercial proposal – hourly rates and bill of quantities</w:t>
      </w:r>
    </w:p>
    <w:p w14:paraId="22558416" w14:textId="77777777" w:rsidR="00437DCE" w:rsidRPr="001A6114" w:rsidRDefault="00437DCE" w:rsidP="00437DCE">
      <w:pPr>
        <w:jc w:val="both"/>
        <w:rPr>
          <w:rFonts w:cs="Arial"/>
        </w:rPr>
      </w:pPr>
    </w:p>
    <w:p w14:paraId="45B9041A" w14:textId="77777777" w:rsidR="00437DCE" w:rsidRPr="001A6114" w:rsidRDefault="00437DCE" w:rsidP="00437DCE">
      <w:pPr>
        <w:jc w:val="both"/>
        <w:rPr>
          <w:rFonts w:cs="Arial"/>
        </w:rPr>
      </w:pPr>
      <w:r w:rsidRPr="001A6114">
        <w:rPr>
          <w:rFonts w:cs="Arial"/>
        </w:rPr>
        <w:t>(Commercial proposal – mandatory submission, without technical information)</w:t>
      </w:r>
    </w:p>
    <w:p w14:paraId="65DF378E" w14:textId="77777777" w:rsidR="00437DCE" w:rsidRPr="001A6114" w:rsidRDefault="00437DCE" w:rsidP="00437DCE">
      <w:pPr>
        <w:jc w:val="both"/>
        <w:rPr>
          <w:rFonts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248"/>
        <w:gridCol w:w="5380"/>
      </w:tblGrid>
      <w:tr w:rsidR="001A6114" w:rsidRPr="001A6114" w14:paraId="13EB0455" w14:textId="77777777" w:rsidTr="001A6114">
        <w:tc>
          <w:tcPr>
            <w:tcW w:w="2206" w:type="pct"/>
          </w:tcPr>
          <w:p w14:paraId="41127C42" w14:textId="0B0F6E96" w:rsidR="001A6114" w:rsidRPr="001A6114" w:rsidRDefault="001A6114" w:rsidP="001A6114">
            <w:pPr>
              <w:spacing w:before="60" w:after="60"/>
              <w:rPr>
                <w:rFonts w:cs="Arial"/>
                <w:i/>
                <w:iCs/>
                <w:sz w:val="20"/>
                <w:szCs w:val="20"/>
              </w:rPr>
            </w:pPr>
            <w:r w:rsidRPr="001A6114">
              <w:rPr>
                <w:rFonts w:cs="Arial"/>
                <w:i/>
                <w:iCs/>
                <w:sz w:val="20"/>
                <w:szCs w:val="20"/>
              </w:rPr>
              <w:t>Tender</w:t>
            </w:r>
          </w:p>
        </w:tc>
        <w:tc>
          <w:tcPr>
            <w:tcW w:w="2794" w:type="pct"/>
          </w:tcPr>
          <w:p w14:paraId="7D35CC49" w14:textId="0E32EAE6" w:rsidR="001A6114" w:rsidRPr="001A6114" w:rsidRDefault="001A6114" w:rsidP="001A611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A6114">
              <w:rPr>
                <w:rFonts w:cs="Arial"/>
                <w:sz w:val="20"/>
                <w:szCs w:val="20"/>
              </w:rPr>
              <w:t>Strategic transformation of the UPU headquarters building</w:t>
            </w:r>
          </w:p>
        </w:tc>
      </w:tr>
      <w:tr w:rsidR="001A6114" w:rsidRPr="001A6114" w14:paraId="01135666" w14:textId="77777777" w:rsidTr="001A6114">
        <w:tc>
          <w:tcPr>
            <w:tcW w:w="2206" w:type="pct"/>
          </w:tcPr>
          <w:p w14:paraId="3A11F570" w14:textId="43FD667D" w:rsidR="001A6114" w:rsidRPr="001A6114" w:rsidRDefault="001A6114" w:rsidP="001A6114">
            <w:pPr>
              <w:spacing w:before="60" w:after="60"/>
              <w:rPr>
                <w:rFonts w:cs="Arial"/>
                <w:i/>
                <w:iCs/>
                <w:sz w:val="20"/>
                <w:szCs w:val="20"/>
              </w:rPr>
            </w:pPr>
            <w:r w:rsidRPr="001A6114">
              <w:rPr>
                <w:rFonts w:cs="Arial"/>
                <w:i/>
                <w:iCs/>
                <w:sz w:val="20"/>
                <w:szCs w:val="20"/>
              </w:rPr>
              <w:t>Bidder (compa</w:t>
            </w:r>
            <w:r w:rsidR="006B02CA">
              <w:rPr>
                <w:rFonts w:cs="Arial"/>
                <w:i/>
                <w:iCs/>
                <w:sz w:val="20"/>
                <w:szCs w:val="20"/>
              </w:rPr>
              <w:t>n</w:t>
            </w:r>
            <w:r w:rsidRPr="001A6114">
              <w:rPr>
                <w:rFonts w:cs="Arial"/>
                <w:i/>
                <w:iCs/>
                <w:sz w:val="20"/>
                <w:szCs w:val="20"/>
              </w:rPr>
              <w:t>y/consortium) name</w:t>
            </w:r>
          </w:p>
        </w:tc>
        <w:tc>
          <w:tcPr>
            <w:tcW w:w="2794" w:type="pct"/>
          </w:tcPr>
          <w:p w14:paraId="5E01AB3E" w14:textId="77777777" w:rsidR="001A6114" w:rsidRPr="001A6114" w:rsidRDefault="001A6114" w:rsidP="001A6114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A6114" w:rsidRPr="001A6114" w14:paraId="0F8CD363" w14:textId="77777777" w:rsidTr="001A6114">
        <w:tc>
          <w:tcPr>
            <w:tcW w:w="2206" w:type="pct"/>
          </w:tcPr>
          <w:p w14:paraId="5DE6379B" w14:textId="40E4B434" w:rsidR="001A6114" w:rsidRPr="001A6114" w:rsidRDefault="001A6114" w:rsidP="001A6114">
            <w:pPr>
              <w:spacing w:before="60" w:after="60"/>
              <w:rPr>
                <w:rFonts w:cs="Arial"/>
                <w:i/>
                <w:iCs/>
                <w:sz w:val="20"/>
                <w:szCs w:val="20"/>
              </w:rPr>
            </w:pPr>
            <w:r w:rsidRPr="001A6114">
              <w:rPr>
                <w:rFonts w:cs="Arial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2794" w:type="pct"/>
          </w:tcPr>
          <w:p w14:paraId="63F02A1F" w14:textId="77777777" w:rsidR="001A6114" w:rsidRPr="001A6114" w:rsidRDefault="001A6114" w:rsidP="001A6114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A6114" w:rsidRPr="001A6114" w14:paraId="1FF3C296" w14:textId="77777777" w:rsidTr="001A6114">
        <w:tc>
          <w:tcPr>
            <w:tcW w:w="2206" w:type="pct"/>
          </w:tcPr>
          <w:p w14:paraId="28963490" w14:textId="74B1660B" w:rsidR="001A6114" w:rsidRPr="001A6114" w:rsidRDefault="001A6114" w:rsidP="001A6114">
            <w:pPr>
              <w:spacing w:before="60" w:after="60"/>
              <w:rPr>
                <w:rFonts w:cs="Arial"/>
                <w:i/>
                <w:iCs/>
                <w:sz w:val="20"/>
                <w:szCs w:val="20"/>
              </w:rPr>
            </w:pPr>
            <w:r w:rsidRPr="001A6114">
              <w:rPr>
                <w:rFonts w:cs="Arial"/>
                <w:i/>
                <w:iCs/>
                <w:sz w:val="20"/>
                <w:szCs w:val="20"/>
              </w:rPr>
              <w:t>Currency</w:t>
            </w:r>
          </w:p>
        </w:tc>
        <w:tc>
          <w:tcPr>
            <w:tcW w:w="2794" w:type="pct"/>
          </w:tcPr>
          <w:p w14:paraId="256B499D" w14:textId="78186CCC" w:rsidR="001A6114" w:rsidRPr="001A6114" w:rsidRDefault="001A6114" w:rsidP="001A611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A6114">
              <w:rPr>
                <w:rFonts w:cs="Arial"/>
                <w:sz w:val="20"/>
                <w:szCs w:val="20"/>
              </w:rPr>
              <w:t>Swiss francs (CHF), exclusive of VAT</w:t>
            </w:r>
          </w:p>
        </w:tc>
      </w:tr>
    </w:tbl>
    <w:p w14:paraId="5A529951" w14:textId="77777777" w:rsidR="001A6114" w:rsidRPr="001A6114" w:rsidRDefault="001A6114" w:rsidP="00437DCE">
      <w:pPr>
        <w:jc w:val="both"/>
        <w:rPr>
          <w:rFonts w:cs="Arial"/>
          <w:b/>
          <w:bCs/>
        </w:rPr>
      </w:pPr>
    </w:p>
    <w:p w14:paraId="30D62341" w14:textId="77777777" w:rsidR="00437DCE" w:rsidRPr="001A6114" w:rsidRDefault="00437DCE" w:rsidP="00437DCE">
      <w:pPr>
        <w:jc w:val="both"/>
        <w:rPr>
          <w:rFonts w:cs="Arial"/>
        </w:rPr>
      </w:pPr>
    </w:p>
    <w:p w14:paraId="221349E2" w14:textId="508253AD" w:rsidR="00437DCE" w:rsidRPr="001A6114" w:rsidRDefault="005A2495" w:rsidP="005A2495">
      <w:pPr>
        <w:pStyle w:val="Titre1"/>
        <w:ind w:left="0" w:firstLine="0"/>
        <w:rPr>
          <w:rFonts w:cs="Arial"/>
        </w:rPr>
      </w:pPr>
      <w:r>
        <w:rPr>
          <w:rFonts w:cs="Arial"/>
        </w:rPr>
        <w:t xml:space="preserve">Part I: </w:t>
      </w:r>
      <w:r w:rsidR="00437DCE" w:rsidRPr="001A6114">
        <w:rPr>
          <w:rFonts w:cs="Arial"/>
        </w:rPr>
        <w:t>Hourly rates for professional services</w:t>
      </w:r>
    </w:p>
    <w:p w14:paraId="590631B3" w14:textId="77777777" w:rsidR="00437DCE" w:rsidRPr="001A6114" w:rsidRDefault="00437DCE" w:rsidP="00437DCE">
      <w:pPr>
        <w:jc w:val="both"/>
        <w:rPr>
          <w:rFonts w:cs="Arial"/>
        </w:rPr>
      </w:pPr>
    </w:p>
    <w:p w14:paraId="7CA191B5" w14:textId="5D5FCC81" w:rsidR="00437DCE" w:rsidRPr="001A6114" w:rsidRDefault="00437DCE" w:rsidP="00C04771">
      <w:pPr>
        <w:pStyle w:val="Titre2"/>
        <w:rPr>
          <w:rFonts w:cs="Arial"/>
        </w:rPr>
      </w:pPr>
      <w:r w:rsidRPr="001A6114">
        <w:rPr>
          <w:rFonts w:cs="Arial"/>
        </w:rPr>
        <w:t>Instructions</w:t>
      </w:r>
    </w:p>
    <w:p w14:paraId="3F356587" w14:textId="77777777" w:rsidR="00437DCE" w:rsidRPr="001A6114" w:rsidRDefault="00437DCE" w:rsidP="00437DCE">
      <w:pPr>
        <w:jc w:val="both"/>
        <w:rPr>
          <w:rFonts w:cs="Arial"/>
        </w:rPr>
      </w:pPr>
    </w:p>
    <w:p w14:paraId="6645477F" w14:textId="6DCE9F64" w:rsidR="00437DCE" w:rsidRPr="001A6114" w:rsidRDefault="00437DCE" w:rsidP="00C04771">
      <w:pPr>
        <w:pStyle w:val="1Premierretrait"/>
        <w:numPr>
          <w:ilvl w:val="0"/>
          <w:numId w:val="0"/>
        </w:numPr>
        <w:spacing w:before="0"/>
        <w:ind w:left="567" w:hanging="567"/>
        <w:rPr>
          <w:rFonts w:cs="Arial"/>
        </w:rPr>
      </w:pPr>
      <w:r w:rsidRPr="001A6114">
        <w:rPr>
          <w:rFonts w:cs="Arial"/>
        </w:rPr>
        <w:t>1</w:t>
      </w:r>
      <w:r w:rsidRPr="001A6114">
        <w:rPr>
          <w:rFonts w:cs="Arial"/>
        </w:rPr>
        <w:tab/>
        <w:t xml:space="preserve">Complete the table by providing </w:t>
      </w:r>
      <w:r w:rsidRPr="001A6114">
        <w:rPr>
          <w:rFonts w:cs="Arial"/>
          <w:i/>
          <w:iCs/>
        </w:rPr>
        <w:t>hourly rates only</w:t>
      </w:r>
      <w:r w:rsidRPr="001A6114">
        <w:rPr>
          <w:rFonts w:cs="Arial"/>
        </w:rPr>
        <w:t>.</w:t>
      </w:r>
    </w:p>
    <w:p w14:paraId="0AD4B5E5" w14:textId="3CB801B3" w:rsidR="00437DCE" w:rsidRPr="001A6114" w:rsidRDefault="00437DCE" w:rsidP="00437DCE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2</w:t>
      </w:r>
      <w:r w:rsidRPr="001A6114">
        <w:rPr>
          <w:rFonts w:cs="Arial"/>
        </w:rPr>
        <w:tab/>
      </w:r>
      <w:r w:rsidRPr="001A6114">
        <w:rPr>
          <w:rFonts w:cs="Arial"/>
          <w:i/>
          <w:iCs/>
        </w:rPr>
        <w:t>DO NOT</w:t>
      </w:r>
      <w:r w:rsidRPr="001A6114">
        <w:rPr>
          <w:rFonts w:cs="Arial"/>
        </w:rPr>
        <w:t xml:space="preserve"> include numbers of hours, quantities, totals, assumptions or technical information.</w:t>
      </w:r>
    </w:p>
    <w:p w14:paraId="1D52D51B" w14:textId="7A260884" w:rsidR="00437DCE" w:rsidRPr="001A6114" w:rsidRDefault="00437DCE" w:rsidP="00437DCE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3</w:t>
      </w:r>
      <w:r w:rsidRPr="001A6114">
        <w:rPr>
          <w:rFonts w:cs="Arial"/>
        </w:rPr>
        <w:tab/>
        <w:t xml:space="preserve">This annex shall be submitted in the </w:t>
      </w:r>
      <w:r w:rsidRPr="001A6114">
        <w:rPr>
          <w:rFonts w:cs="Arial"/>
          <w:i/>
          <w:iCs/>
        </w:rPr>
        <w:t>commercial envelope only</w:t>
      </w:r>
      <w:r w:rsidRPr="001A6114">
        <w:rPr>
          <w:rFonts w:cs="Arial"/>
        </w:rPr>
        <w:t>.</w:t>
      </w:r>
    </w:p>
    <w:p w14:paraId="0DC62828" w14:textId="20219DA7" w:rsidR="00437DCE" w:rsidRPr="001A6114" w:rsidRDefault="00437DCE" w:rsidP="00437DCE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4</w:t>
      </w:r>
      <w:r w:rsidRPr="001A6114">
        <w:rPr>
          <w:rFonts w:cs="Arial"/>
        </w:rPr>
        <w:tab/>
        <w:t>Rates shall apply only to services instructed or approved by the UPU.</w:t>
      </w:r>
    </w:p>
    <w:p w14:paraId="05FF349E" w14:textId="44A9C026" w:rsidR="00437DCE" w:rsidRPr="001A6114" w:rsidRDefault="00437DCE" w:rsidP="00437DCE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5</w:t>
      </w:r>
      <w:r w:rsidRPr="001A6114">
        <w:rPr>
          <w:rFonts w:cs="Arial"/>
        </w:rPr>
        <w:tab/>
        <w:t>Hourly rates for “Other specialists” shall apply only to disciplines required by the specifications and approved by the UPU.</w:t>
      </w:r>
    </w:p>
    <w:p w14:paraId="2A9239B6" w14:textId="77777777" w:rsidR="00437DCE" w:rsidRPr="001A6114" w:rsidRDefault="00437DCE" w:rsidP="00437DCE">
      <w:pPr>
        <w:jc w:val="both"/>
        <w:rPr>
          <w:rFonts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248"/>
        <w:gridCol w:w="5380"/>
      </w:tblGrid>
      <w:tr w:rsidR="00C04771" w:rsidRPr="001A6114" w14:paraId="429BFA40" w14:textId="77777777" w:rsidTr="001A6114">
        <w:tc>
          <w:tcPr>
            <w:tcW w:w="2206" w:type="pct"/>
            <w:hideMark/>
          </w:tcPr>
          <w:p w14:paraId="19B9D053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  <w:t>Specialist role</w:t>
            </w:r>
          </w:p>
        </w:tc>
        <w:tc>
          <w:tcPr>
            <w:tcW w:w="2794" w:type="pct"/>
            <w:hideMark/>
          </w:tcPr>
          <w:p w14:paraId="0879C58A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  <w:t>Hourly rate (in CHF, exclusive of VAT)</w:t>
            </w:r>
          </w:p>
        </w:tc>
      </w:tr>
      <w:tr w:rsidR="00C04771" w:rsidRPr="001A6114" w14:paraId="0FBECD68" w14:textId="77777777" w:rsidTr="001A6114">
        <w:tc>
          <w:tcPr>
            <w:tcW w:w="2206" w:type="pct"/>
            <w:hideMark/>
          </w:tcPr>
          <w:p w14:paraId="74DC4F26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Design manager/design coordinator</w:t>
            </w:r>
          </w:p>
        </w:tc>
        <w:tc>
          <w:tcPr>
            <w:tcW w:w="2794" w:type="pct"/>
            <w:hideMark/>
          </w:tcPr>
          <w:p w14:paraId="42D56635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4AC95970" w14:textId="77777777" w:rsidTr="001A6114">
        <w:tc>
          <w:tcPr>
            <w:tcW w:w="2206" w:type="pct"/>
            <w:hideMark/>
          </w:tcPr>
          <w:p w14:paraId="25DAD391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Project manager</w:t>
            </w:r>
          </w:p>
        </w:tc>
        <w:tc>
          <w:tcPr>
            <w:tcW w:w="2794" w:type="pct"/>
            <w:hideMark/>
          </w:tcPr>
          <w:p w14:paraId="56F331C6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2EACA37F" w14:textId="77777777" w:rsidTr="001A6114">
        <w:tc>
          <w:tcPr>
            <w:tcW w:w="2206" w:type="pct"/>
            <w:hideMark/>
          </w:tcPr>
          <w:p w14:paraId="2978F5BB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Lead architect</w:t>
            </w:r>
          </w:p>
        </w:tc>
        <w:tc>
          <w:tcPr>
            <w:tcW w:w="2794" w:type="pct"/>
            <w:hideMark/>
          </w:tcPr>
          <w:p w14:paraId="2077CAD2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534BFB3B" w14:textId="77777777" w:rsidTr="001A6114">
        <w:tc>
          <w:tcPr>
            <w:tcW w:w="2206" w:type="pct"/>
            <w:hideMark/>
          </w:tcPr>
          <w:p w14:paraId="3009045F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Structural engineer</w:t>
            </w:r>
          </w:p>
        </w:tc>
        <w:tc>
          <w:tcPr>
            <w:tcW w:w="2794" w:type="pct"/>
            <w:hideMark/>
          </w:tcPr>
          <w:p w14:paraId="64F9840E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3231CD2E" w14:textId="77777777" w:rsidTr="001A6114">
        <w:tc>
          <w:tcPr>
            <w:tcW w:w="2206" w:type="pct"/>
            <w:hideMark/>
          </w:tcPr>
          <w:p w14:paraId="24F1E0B9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MEP engineer/coordinator</w:t>
            </w:r>
          </w:p>
        </w:tc>
        <w:tc>
          <w:tcPr>
            <w:tcW w:w="2794" w:type="pct"/>
            <w:hideMark/>
          </w:tcPr>
          <w:p w14:paraId="6E46EE53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083BF924" w14:textId="77777777" w:rsidTr="001A6114">
        <w:tc>
          <w:tcPr>
            <w:tcW w:w="2206" w:type="pct"/>
            <w:hideMark/>
          </w:tcPr>
          <w:p w14:paraId="3B992E42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Sustainability/energy expert</w:t>
            </w:r>
          </w:p>
        </w:tc>
        <w:tc>
          <w:tcPr>
            <w:tcW w:w="2794" w:type="pct"/>
            <w:hideMark/>
          </w:tcPr>
          <w:p w14:paraId="7E907DED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7A93F007" w14:textId="77777777" w:rsidTr="001A6114">
        <w:tc>
          <w:tcPr>
            <w:tcW w:w="2206" w:type="pct"/>
            <w:hideMark/>
          </w:tcPr>
          <w:p w14:paraId="7FD1A048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BIM manager/coordinator</w:t>
            </w:r>
          </w:p>
        </w:tc>
        <w:tc>
          <w:tcPr>
            <w:tcW w:w="2794" w:type="pct"/>
            <w:hideMark/>
          </w:tcPr>
          <w:p w14:paraId="27FEF1EE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0EB75FD2" w14:textId="77777777" w:rsidTr="001A6114">
        <w:tc>
          <w:tcPr>
            <w:tcW w:w="2206" w:type="pct"/>
            <w:hideMark/>
          </w:tcPr>
          <w:p w14:paraId="186C4211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Cost consultant/quantity surveyor</w:t>
            </w:r>
          </w:p>
        </w:tc>
        <w:tc>
          <w:tcPr>
            <w:tcW w:w="2794" w:type="pct"/>
            <w:hideMark/>
          </w:tcPr>
          <w:p w14:paraId="0C2F5408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609CB2EC" w14:textId="77777777" w:rsidTr="001A6114">
        <w:tc>
          <w:tcPr>
            <w:tcW w:w="2206" w:type="pct"/>
            <w:hideMark/>
          </w:tcPr>
          <w:p w14:paraId="2BE3B583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Heritage specialist</w:t>
            </w:r>
          </w:p>
        </w:tc>
        <w:tc>
          <w:tcPr>
            <w:tcW w:w="2794" w:type="pct"/>
            <w:hideMark/>
          </w:tcPr>
          <w:p w14:paraId="59B71B3C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34A8361D" w14:textId="77777777" w:rsidTr="001A6114">
        <w:tc>
          <w:tcPr>
            <w:tcW w:w="2206" w:type="pct"/>
            <w:hideMark/>
          </w:tcPr>
          <w:p w14:paraId="7688F7AD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Fire safety engineer</w:t>
            </w:r>
          </w:p>
        </w:tc>
        <w:tc>
          <w:tcPr>
            <w:tcW w:w="2794" w:type="pct"/>
            <w:hideMark/>
          </w:tcPr>
          <w:p w14:paraId="7F928FEB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24109197" w14:textId="77777777" w:rsidTr="001A6114">
        <w:tc>
          <w:tcPr>
            <w:tcW w:w="2206" w:type="pct"/>
            <w:hideMark/>
          </w:tcPr>
          <w:p w14:paraId="3430C73C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Acoustics/building physics expert</w:t>
            </w:r>
          </w:p>
        </w:tc>
        <w:tc>
          <w:tcPr>
            <w:tcW w:w="2794" w:type="pct"/>
            <w:hideMark/>
          </w:tcPr>
          <w:p w14:paraId="4E581453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08177B4C" w14:textId="77777777" w:rsidTr="001A6114">
        <w:tc>
          <w:tcPr>
            <w:tcW w:w="2206" w:type="pct"/>
            <w:hideMark/>
          </w:tcPr>
          <w:p w14:paraId="2AAE14BD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Planning/authorities liaison specialist</w:t>
            </w:r>
          </w:p>
        </w:tc>
        <w:tc>
          <w:tcPr>
            <w:tcW w:w="2794" w:type="pct"/>
            <w:hideMark/>
          </w:tcPr>
          <w:p w14:paraId="735E6A0D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65A94D76" w14:textId="77777777" w:rsidTr="001A6114">
        <w:tc>
          <w:tcPr>
            <w:tcW w:w="2206" w:type="pct"/>
            <w:hideMark/>
          </w:tcPr>
          <w:p w14:paraId="07E1CEC8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Other specialists (to be specified)</w:t>
            </w:r>
          </w:p>
        </w:tc>
        <w:tc>
          <w:tcPr>
            <w:tcW w:w="2794" w:type="pct"/>
            <w:hideMark/>
          </w:tcPr>
          <w:p w14:paraId="7CC67CA9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065CD9A" w14:textId="77777777" w:rsidR="00437DCE" w:rsidRPr="001A6114" w:rsidRDefault="00437DCE" w:rsidP="00437DCE">
      <w:pPr>
        <w:jc w:val="both"/>
        <w:rPr>
          <w:rFonts w:cs="Arial"/>
        </w:rPr>
      </w:pPr>
    </w:p>
    <w:p w14:paraId="451D9C2D" w14:textId="68689D65" w:rsidR="00065EFE" w:rsidRDefault="00065EFE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60F0D74B" w14:textId="21190309" w:rsidR="00437DCE" w:rsidRPr="001A6114" w:rsidRDefault="005A2495" w:rsidP="005A2495">
      <w:pPr>
        <w:pStyle w:val="Titre1"/>
        <w:ind w:left="0" w:firstLine="0"/>
        <w:rPr>
          <w:rFonts w:cs="Arial"/>
        </w:rPr>
      </w:pPr>
      <w:r>
        <w:rPr>
          <w:rFonts w:cs="Arial"/>
        </w:rPr>
        <w:lastRenderedPageBreak/>
        <w:t xml:space="preserve">Part II: </w:t>
      </w:r>
      <w:r w:rsidR="00437DCE" w:rsidRPr="001A6114">
        <w:rPr>
          <w:rFonts w:cs="Arial"/>
        </w:rPr>
        <w:t>Bill of quantities (BOQ) – scenario-based cost evaluation</w:t>
      </w:r>
    </w:p>
    <w:p w14:paraId="128047AB" w14:textId="77777777" w:rsidR="00437DCE" w:rsidRPr="001A6114" w:rsidRDefault="00437DCE" w:rsidP="00437DCE">
      <w:pPr>
        <w:jc w:val="both"/>
        <w:rPr>
          <w:rFonts w:cs="Arial"/>
        </w:rPr>
      </w:pPr>
    </w:p>
    <w:p w14:paraId="5E4A226B" w14:textId="091B4F91" w:rsidR="00437DCE" w:rsidRPr="001A6114" w:rsidRDefault="00437DCE" w:rsidP="00437DCE">
      <w:pPr>
        <w:jc w:val="both"/>
        <w:rPr>
          <w:rFonts w:cs="Arial"/>
          <w:i/>
          <w:iCs/>
        </w:rPr>
      </w:pPr>
      <w:r w:rsidRPr="001A6114">
        <w:rPr>
          <w:rFonts w:cs="Arial"/>
          <w:i/>
          <w:iCs/>
        </w:rPr>
        <w:t>Important</w:t>
      </w:r>
    </w:p>
    <w:p w14:paraId="77C82246" w14:textId="77777777" w:rsidR="00C04771" w:rsidRPr="001A6114" w:rsidRDefault="00C04771" w:rsidP="00437DCE">
      <w:pPr>
        <w:jc w:val="both"/>
        <w:rPr>
          <w:rFonts w:cs="Arial"/>
          <w:i/>
          <w:iCs/>
        </w:rPr>
      </w:pPr>
    </w:p>
    <w:p w14:paraId="5D173EA8" w14:textId="57964457" w:rsidR="00437DCE" w:rsidRPr="001A6114" w:rsidRDefault="00437DCE" w:rsidP="00065EFE">
      <w:pPr>
        <w:pStyle w:val="1Premierretrait"/>
        <w:numPr>
          <w:ilvl w:val="0"/>
          <w:numId w:val="0"/>
        </w:numPr>
        <w:spacing w:before="0"/>
        <w:ind w:left="567" w:hanging="567"/>
        <w:rPr>
          <w:rFonts w:cs="Arial"/>
        </w:rPr>
      </w:pPr>
      <w:r w:rsidRPr="001A6114">
        <w:rPr>
          <w:rFonts w:cs="Arial"/>
        </w:rPr>
        <w:t>1</w:t>
      </w:r>
      <w:r w:rsidRPr="001A6114">
        <w:rPr>
          <w:rFonts w:cs="Arial"/>
        </w:rPr>
        <w:tab/>
        <w:t>Quantities are defined by the UPU for evaluation purposes only and shall not be modified by Bidders.</w:t>
      </w:r>
    </w:p>
    <w:p w14:paraId="5F9CEC46" w14:textId="3AC88FCD" w:rsidR="00C04771" w:rsidRPr="001A6114" w:rsidRDefault="00437DCE" w:rsidP="00C04771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2</w:t>
      </w:r>
      <w:r w:rsidRPr="001A6114">
        <w:rPr>
          <w:rFonts w:cs="Arial"/>
        </w:rPr>
        <w:tab/>
        <w:t>Costs will be calculated by the UPU using the Bidder’s hourly rates according to the following formula:</w:t>
      </w:r>
    </w:p>
    <w:p w14:paraId="36D1C06D" w14:textId="17A993EF" w:rsidR="00437DCE" w:rsidRPr="001A6114" w:rsidRDefault="00437DCE" w:rsidP="006B4528">
      <w:pPr>
        <w:pStyle w:val="1Premierretrait"/>
        <w:numPr>
          <w:ilvl w:val="0"/>
          <w:numId w:val="0"/>
        </w:numPr>
        <w:ind w:left="567"/>
        <w:rPr>
          <w:rFonts w:cs="Arial"/>
        </w:rPr>
      </w:pPr>
      <w:r w:rsidRPr="001A6114">
        <w:rPr>
          <w:rFonts w:cs="Arial"/>
        </w:rPr>
        <w:t>[UPU standard BOQ hours] × [Bidder’s hourly rate] = Scenario cost</w:t>
      </w:r>
    </w:p>
    <w:p w14:paraId="27CFF8E1" w14:textId="3B418F47" w:rsidR="00437DCE" w:rsidRPr="001A6114" w:rsidRDefault="00437DCE" w:rsidP="00C04771">
      <w:pPr>
        <w:pStyle w:val="1Premierretrait"/>
        <w:numPr>
          <w:ilvl w:val="0"/>
          <w:numId w:val="0"/>
        </w:numPr>
        <w:rPr>
          <w:rFonts w:cs="Arial"/>
        </w:rPr>
      </w:pPr>
      <w:r w:rsidRPr="001A6114">
        <w:rPr>
          <w:rFonts w:cs="Arial"/>
        </w:rPr>
        <w:t>3</w:t>
      </w:r>
      <w:r w:rsidRPr="001A6114">
        <w:rPr>
          <w:rFonts w:cs="Arial"/>
        </w:rPr>
        <w:tab/>
        <w:t>All Bidders will be evaluated using the same standard BOQ hours.</w:t>
      </w:r>
    </w:p>
    <w:p w14:paraId="708B9D10" w14:textId="77777777" w:rsidR="00437DCE" w:rsidRPr="001A6114" w:rsidRDefault="00437DCE" w:rsidP="00437DCE">
      <w:pPr>
        <w:jc w:val="both"/>
        <w:rPr>
          <w:rFonts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92"/>
        <w:gridCol w:w="4573"/>
        <w:gridCol w:w="3963"/>
      </w:tblGrid>
      <w:tr w:rsidR="00C04771" w:rsidRPr="001A6114" w14:paraId="4BE7F0E9" w14:textId="77777777" w:rsidTr="001A6114">
        <w:tc>
          <w:tcPr>
            <w:tcW w:w="567" w:type="pct"/>
            <w:hideMark/>
          </w:tcPr>
          <w:p w14:paraId="4F39B057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  <w:t>Scenario</w:t>
            </w:r>
          </w:p>
        </w:tc>
        <w:tc>
          <w:tcPr>
            <w:tcW w:w="2375" w:type="pct"/>
            <w:hideMark/>
          </w:tcPr>
          <w:p w14:paraId="732ED265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  <w:t>Phases selected</w:t>
            </w:r>
          </w:p>
        </w:tc>
        <w:tc>
          <w:tcPr>
            <w:tcW w:w="2058" w:type="pct"/>
            <w:hideMark/>
          </w:tcPr>
          <w:p w14:paraId="664A4FE5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i/>
                <w:iCs/>
                <w:kern w:val="0"/>
                <w:sz w:val="20"/>
                <w:szCs w:val="20"/>
                <w14:ligatures w14:val="none"/>
              </w:rPr>
              <w:t>Total cost (CHF)</w:t>
            </w:r>
          </w:p>
        </w:tc>
      </w:tr>
      <w:tr w:rsidR="00C04771" w:rsidRPr="001A6114" w14:paraId="6E49CC37" w14:textId="77777777" w:rsidTr="001A6114">
        <w:tc>
          <w:tcPr>
            <w:tcW w:w="567" w:type="pct"/>
            <w:hideMark/>
          </w:tcPr>
          <w:p w14:paraId="1C1209FE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75" w:type="pct"/>
            <w:hideMark/>
          </w:tcPr>
          <w:p w14:paraId="7B160599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Phase 1 only</w:t>
            </w:r>
          </w:p>
        </w:tc>
        <w:tc>
          <w:tcPr>
            <w:tcW w:w="2058" w:type="pct"/>
            <w:hideMark/>
          </w:tcPr>
          <w:p w14:paraId="16E1C4DB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4EFB304A" w14:textId="77777777" w:rsidTr="001A6114">
        <w:tc>
          <w:tcPr>
            <w:tcW w:w="567" w:type="pct"/>
            <w:hideMark/>
          </w:tcPr>
          <w:p w14:paraId="202C3ED6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75" w:type="pct"/>
            <w:hideMark/>
          </w:tcPr>
          <w:p w14:paraId="5C735E19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Phase 1 + phase 2 – option A (renovation)</w:t>
            </w:r>
          </w:p>
        </w:tc>
        <w:tc>
          <w:tcPr>
            <w:tcW w:w="2058" w:type="pct"/>
            <w:hideMark/>
          </w:tcPr>
          <w:p w14:paraId="50EDD46D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3CB807A3" w14:textId="77777777" w:rsidTr="001A6114">
        <w:tc>
          <w:tcPr>
            <w:tcW w:w="567" w:type="pct"/>
            <w:hideMark/>
          </w:tcPr>
          <w:p w14:paraId="157866CB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75" w:type="pct"/>
            <w:hideMark/>
          </w:tcPr>
          <w:p w14:paraId="470C4067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Phase 1 + phase 2 – option B (new construction)</w:t>
            </w:r>
          </w:p>
        </w:tc>
        <w:tc>
          <w:tcPr>
            <w:tcW w:w="2058" w:type="pct"/>
            <w:hideMark/>
          </w:tcPr>
          <w:p w14:paraId="3C0F9446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04771" w:rsidRPr="001A6114" w14:paraId="0021CA3A" w14:textId="77777777" w:rsidTr="001A6114">
        <w:tc>
          <w:tcPr>
            <w:tcW w:w="567" w:type="pct"/>
            <w:hideMark/>
          </w:tcPr>
          <w:p w14:paraId="7B09D99E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75" w:type="pct"/>
            <w:hideMark/>
          </w:tcPr>
          <w:p w14:paraId="43EE87B2" w14:textId="77777777" w:rsidR="00C04771" w:rsidRPr="001A6114" w:rsidRDefault="00C04771" w:rsidP="00C04771">
            <w:pPr>
              <w:spacing w:before="60" w:after="60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1A6114"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  <w:t>Phase 1 + phase 2 – options A + B</w:t>
            </w:r>
          </w:p>
        </w:tc>
        <w:tc>
          <w:tcPr>
            <w:tcW w:w="2058" w:type="pct"/>
            <w:hideMark/>
          </w:tcPr>
          <w:p w14:paraId="30D896E6" w14:textId="77777777" w:rsidR="00C04771" w:rsidRPr="001A6114" w:rsidRDefault="00C04771" w:rsidP="00C04771">
            <w:pPr>
              <w:spacing w:before="60" w:after="60"/>
              <w:jc w:val="right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094B8B" w14:textId="77777777" w:rsidR="00437DCE" w:rsidRPr="001A6114" w:rsidRDefault="00437DCE" w:rsidP="00437DCE">
      <w:pPr>
        <w:jc w:val="both"/>
        <w:rPr>
          <w:rFonts w:cs="Arial"/>
        </w:rPr>
      </w:pPr>
    </w:p>
    <w:p w14:paraId="45277C20" w14:textId="77777777" w:rsidR="00437DCE" w:rsidRPr="001A6114" w:rsidRDefault="00437DCE" w:rsidP="00C04771">
      <w:pPr>
        <w:pStyle w:val="Titre2"/>
        <w:rPr>
          <w:rFonts w:cs="Arial"/>
        </w:rPr>
      </w:pPr>
      <w:r w:rsidRPr="001A6114">
        <w:rPr>
          <w:rFonts w:cs="Arial"/>
        </w:rPr>
        <w:t>Terms and conditions</w:t>
      </w:r>
    </w:p>
    <w:p w14:paraId="16D1A34E" w14:textId="77777777" w:rsidR="00437DCE" w:rsidRPr="001A6114" w:rsidRDefault="00437DCE" w:rsidP="00437DCE">
      <w:pPr>
        <w:jc w:val="both"/>
        <w:rPr>
          <w:rFonts w:cs="Arial"/>
        </w:rPr>
      </w:pPr>
    </w:p>
    <w:p w14:paraId="0372AC59" w14:textId="5D226E88" w:rsidR="00437DCE" w:rsidRPr="001A6114" w:rsidRDefault="00437DCE" w:rsidP="006B4528">
      <w:pPr>
        <w:pStyle w:val="1Premierretrait"/>
        <w:numPr>
          <w:ilvl w:val="0"/>
          <w:numId w:val="0"/>
        </w:numPr>
        <w:spacing w:before="0"/>
        <w:ind w:left="567" w:hanging="567"/>
        <w:rPr>
          <w:rFonts w:cs="Arial"/>
        </w:rPr>
      </w:pPr>
      <w:r w:rsidRPr="001A6114">
        <w:rPr>
          <w:rFonts w:cs="Arial"/>
        </w:rPr>
        <w:t>1</w:t>
      </w:r>
      <w:r w:rsidRPr="001A6114">
        <w:rPr>
          <w:rFonts w:cs="Arial"/>
        </w:rPr>
        <w:tab/>
        <w:t>All rates are in Swiss francs, exclusive of VAT.</w:t>
      </w:r>
    </w:p>
    <w:p w14:paraId="614A90F8" w14:textId="43A87FFC" w:rsidR="00437DCE" w:rsidRPr="001A6114" w:rsidRDefault="00437DCE" w:rsidP="00C04771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2</w:t>
      </w:r>
      <w:r w:rsidRPr="001A6114">
        <w:rPr>
          <w:rFonts w:cs="Arial"/>
        </w:rPr>
        <w:tab/>
      </w:r>
      <w:r w:rsidR="0017649C">
        <w:rPr>
          <w:rFonts w:cs="Arial"/>
        </w:rPr>
        <w:t>The r</w:t>
      </w:r>
      <w:r w:rsidRPr="001A6114">
        <w:rPr>
          <w:rFonts w:cs="Arial"/>
        </w:rPr>
        <w:t xml:space="preserve">ates </w:t>
      </w:r>
      <w:r w:rsidR="0017649C">
        <w:rPr>
          <w:rFonts w:cs="Arial"/>
        </w:rPr>
        <w:t>shall remain fixed</w:t>
      </w:r>
      <w:r w:rsidRPr="001A6114">
        <w:rPr>
          <w:rFonts w:cs="Arial"/>
        </w:rPr>
        <w:t xml:space="preserve"> for </w:t>
      </w:r>
      <w:r w:rsidR="0017649C">
        <w:rPr>
          <w:rFonts w:cs="Arial"/>
        </w:rPr>
        <w:t>the entire duration of the contract</w:t>
      </w:r>
      <w:r w:rsidRPr="001A6114">
        <w:rPr>
          <w:rFonts w:cs="Arial"/>
        </w:rPr>
        <w:t>.</w:t>
      </w:r>
    </w:p>
    <w:p w14:paraId="04A8749B" w14:textId="06310122" w:rsidR="00437DCE" w:rsidRPr="001A6114" w:rsidRDefault="00437DCE" w:rsidP="00C04771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3</w:t>
      </w:r>
      <w:r w:rsidRPr="001A6114">
        <w:rPr>
          <w:rFonts w:cs="Arial"/>
        </w:rPr>
        <w:tab/>
        <w:t>The minimum billing unit is 1 hour.</w:t>
      </w:r>
    </w:p>
    <w:p w14:paraId="4D8E111C" w14:textId="42F00943" w:rsidR="00437DCE" w:rsidRPr="001A6114" w:rsidRDefault="00437DCE" w:rsidP="00C04771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4</w:t>
      </w:r>
      <w:r w:rsidRPr="001A6114">
        <w:rPr>
          <w:rFonts w:cs="Arial"/>
        </w:rPr>
        <w:tab/>
      </w:r>
      <w:r w:rsidR="007729AB">
        <w:rPr>
          <w:rFonts w:cs="Arial"/>
        </w:rPr>
        <w:t>The r</w:t>
      </w:r>
      <w:r w:rsidRPr="001A6114">
        <w:rPr>
          <w:rFonts w:cs="Arial"/>
        </w:rPr>
        <w:t xml:space="preserve">ates </w:t>
      </w:r>
      <w:r w:rsidR="007729AB">
        <w:rPr>
          <w:rFonts w:cs="Arial"/>
        </w:rPr>
        <w:t>shall cover any and all of the Bidder’s expenses to be incurred for the provision of the services (</w:t>
      </w:r>
      <w:r w:rsidRPr="001A6114">
        <w:rPr>
          <w:rFonts w:cs="Arial"/>
        </w:rPr>
        <w:t>includ</w:t>
      </w:r>
      <w:r w:rsidR="007729AB">
        <w:rPr>
          <w:rFonts w:cs="Arial"/>
        </w:rPr>
        <w:t>ing, without limitation, any and all travel and subsistence expenses)</w:t>
      </w:r>
      <w:r w:rsidRPr="001A6114">
        <w:rPr>
          <w:rFonts w:cs="Arial"/>
        </w:rPr>
        <w:t>.</w:t>
      </w:r>
      <w:r w:rsidR="007729AB">
        <w:rPr>
          <w:rFonts w:cs="Arial"/>
        </w:rPr>
        <w:t xml:space="preserve"> Accordingly, no other fees shall be paid by the UPU to the Vendor.</w:t>
      </w:r>
    </w:p>
    <w:p w14:paraId="6EFF2FAC" w14:textId="3DDB123A" w:rsidR="00437DCE" w:rsidRPr="001A6114" w:rsidRDefault="007729AB" w:rsidP="00C04771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>
        <w:rPr>
          <w:rFonts w:cs="Arial"/>
        </w:rPr>
        <w:t>5</w:t>
      </w:r>
      <w:r w:rsidR="00437DCE" w:rsidRPr="001A6114">
        <w:rPr>
          <w:rFonts w:cs="Arial"/>
        </w:rPr>
        <w:tab/>
        <w:t>No minimum volume of services is guaranteed.</w:t>
      </w:r>
    </w:p>
    <w:p w14:paraId="4ED4CAB3" w14:textId="54839821" w:rsidR="00437DCE" w:rsidRPr="001A6114" w:rsidRDefault="00437DCE" w:rsidP="00437DCE">
      <w:pPr>
        <w:jc w:val="both"/>
        <w:rPr>
          <w:rFonts w:cs="Arial"/>
        </w:rPr>
      </w:pPr>
    </w:p>
    <w:p w14:paraId="57701AD4" w14:textId="77777777" w:rsidR="00C04771" w:rsidRPr="001A6114" w:rsidRDefault="00C04771" w:rsidP="00437DCE">
      <w:pPr>
        <w:jc w:val="both"/>
        <w:rPr>
          <w:rFonts w:cs="Arial"/>
        </w:rPr>
      </w:pPr>
    </w:p>
    <w:p w14:paraId="12FA8DCD" w14:textId="77777777" w:rsidR="00437DCE" w:rsidRPr="001A6114" w:rsidRDefault="00437DCE" w:rsidP="005A2495">
      <w:pPr>
        <w:pStyle w:val="Titre1"/>
        <w:ind w:left="0" w:firstLine="0"/>
        <w:rPr>
          <w:rFonts w:cs="Arial"/>
        </w:rPr>
      </w:pPr>
      <w:r w:rsidRPr="001A6114">
        <w:rPr>
          <w:rFonts w:cs="Arial"/>
        </w:rPr>
        <w:t>Declaration – Commercial proposal (mandatory)</w:t>
      </w:r>
    </w:p>
    <w:p w14:paraId="311EBD60" w14:textId="77777777" w:rsidR="00437DCE" w:rsidRPr="001A6114" w:rsidRDefault="00437DCE" w:rsidP="00437DCE">
      <w:pPr>
        <w:jc w:val="both"/>
        <w:rPr>
          <w:rFonts w:cs="Arial"/>
        </w:rPr>
      </w:pPr>
    </w:p>
    <w:p w14:paraId="0353E5CB" w14:textId="77777777" w:rsidR="00437DCE" w:rsidRPr="001A6114" w:rsidRDefault="00437DCE" w:rsidP="00437DCE">
      <w:pPr>
        <w:jc w:val="both"/>
        <w:rPr>
          <w:rFonts w:cs="Arial"/>
        </w:rPr>
      </w:pPr>
      <w:r w:rsidRPr="001A6114">
        <w:rPr>
          <w:rFonts w:cs="Arial"/>
        </w:rPr>
        <w:t>I, the undersigned, hereby certify that:</w:t>
      </w:r>
    </w:p>
    <w:p w14:paraId="44A34F06" w14:textId="59FB5168" w:rsidR="00437DCE" w:rsidRPr="001A6114" w:rsidRDefault="00437DCE" w:rsidP="00C04771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1</w:t>
      </w:r>
      <w:r w:rsidRPr="001A6114">
        <w:rPr>
          <w:rFonts w:cs="Arial"/>
        </w:rPr>
        <w:tab/>
        <w:t>The above hourly rates are complete and accurate.</w:t>
      </w:r>
    </w:p>
    <w:p w14:paraId="481B6E73" w14:textId="196EE6F7" w:rsidR="00437DCE" w:rsidRPr="001A6114" w:rsidRDefault="00437DCE" w:rsidP="00C04771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2</w:t>
      </w:r>
      <w:r w:rsidRPr="001A6114">
        <w:rPr>
          <w:rFonts w:cs="Arial"/>
        </w:rPr>
        <w:tab/>
        <w:t>The above hourly rates constitute the sole commercial basis of our offer.</w:t>
      </w:r>
    </w:p>
    <w:p w14:paraId="5F691761" w14:textId="4E9F3F96" w:rsidR="00437DCE" w:rsidRPr="001A6114" w:rsidRDefault="00437DCE" w:rsidP="00C04771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3</w:t>
      </w:r>
      <w:r w:rsidRPr="001A6114">
        <w:rPr>
          <w:rFonts w:cs="Arial"/>
        </w:rPr>
        <w:tab/>
        <w:t>No numbers of hours, workload allocations, totals or technical information are included in this annex.</w:t>
      </w:r>
    </w:p>
    <w:p w14:paraId="5DB2C9C4" w14:textId="4E573DA0" w:rsidR="00437DCE" w:rsidRPr="001A6114" w:rsidRDefault="00437DCE" w:rsidP="00C04771">
      <w:pPr>
        <w:pStyle w:val="1Premierretrait"/>
        <w:numPr>
          <w:ilvl w:val="0"/>
          <w:numId w:val="0"/>
        </w:numPr>
        <w:ind w:left="567" w:hanging="567"/>
        <w:rPr>
          <w:rFonts w:cs="Arial"/>
        </w:rPr>
      </w:pPr>
      <w:r w:rsidRPr="001A6114">
        <w:rPr>
          <w:rFonts w:cs="Arial"/>
        </w:rPr>
        <w:t>4</w:t>
      </w:r>
      <w:r w:rsidRPr="001A6114">
        <w:rPr>
          <w:rFonts w:cs="Arial"/>
        </w:rPr>
        <w:tab/>
        <w:t>The UPU may apply these rates to its own validated workload and BOQ for cost evaluation.</w:t>
      </w:r>
    </w:p>
    <w:p w14:paraId="2EF342C4" w14:textId="1A9B1CFF" w:rsidR="00437DCE" w:rsidRPr="001A6114" w:rsidRDefault="00437DCE" w:rsidP="00437DCE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47"/>
        <w:gridCol w:w="2782"/>
        <w:gridCol w:w="1999"/>
      </w:tblGrid>
      <w:tr w:rsidR="005A2495" w:rsidRPr="00083ED8" w14:paraId="45E8B845" w14:textId="77777777" w:rsidTr="00B523FF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538529C2" w14:textId="77777777" w:rsidR="005A2495" w:rsidRPr="00083ED8" w:rsidRDefault="005A2495" w:rsidP="00B523FF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083ED8">
              <w:rPr>
                <w:rFonts w:cs="Arial"/>
                <w:sz w:val="16"/>
                <w:szCs w:val="16"/>
              </w:rPr>
              <w:t>Company/consortium name</w:t>
            </w:r>
          </w:p>
          <w:p w14:paraId="369FD6F0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D057866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5A2495" w:rsidRPr="00083ED8" w14:paraId="45BC0148" w14:textId="77777777" w:rsidTr="00B523FF">
        <w:trPr>
          <w:cantSplit/>
          <w:trHeight w:val="33"/>
        </w:trPr>
        <w:tc>
          <w:tcPr>
            <w:tcW w:w="3962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0BF21965" w14:textId="77777777" w:rsidR="005A2495" w:rsidRPr="00083ED8" w:rsidRDefault="005A2495" w:rsidP="00B523FF">
            <w:pPr>
              <w:spacing w:line="240" w:lineRule="auto"/>
              <w:ind w:right="75"/>
              <w:rPr>
                <w:rFonts w:cs="Arial"/>
                <w:sz w:val="16"/>
                <w:szCs w:val="16"/>
              </w:rPr>
            </w:pPr>
            <w:r w:rsidRPr="00083ED8">
              <w:rPr>
                <w:rFonts w:cs="Arial"/>
                <w:sz w:val="16"/>
                <w:szCs w:val="16"/>
              </w:rPr>
              <w:t>Name of authorized representative</w:t>
            </w:r>
          </w:p>
          <w:p w14:paraId="61C4E180" w14:textId="77777777" w:rsidR="005A2495" w:rsidRPr="00083ED8" w:rsidRDefault="005A2495" w:rsidP="00B523FF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590BD2FA" w14:textId="77777777" w:rsidR="005A2495" w:rsidRPr="00083ED8" w:rsidRDefault="005A2495" w:rsidP="00B523FF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8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35A994BE" w14:textId="77777777" w:rsidR="005A2495" w:rsidRPr="00083ED8" w:rsidRDefault="009C7BF2" w:rsidP="00B523FF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A2495" w:rsidRPr="00083ED8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5A2495" w:rsidRPr="00083ED8">
              <w:rPr>
                <w:rFonts w:cs="Arial"/>
                <w:sz w:val="16"/>
                <w:szCs w:val="16"/>
              </w:rPr>
              <w:t xml:space="preserve"> Mr</w:t>
            </w:r>
            <w:r w:rsidR="005A2495" w:rsidRPr="00083ED8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A2495" w:rsidRPr="00083ED8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5A2495" w:rsidRPr="00083ED8">
              <w:rPr>
                <w:rFonts w:cs="Arial"/>
                <w:sz w:val="16"/>
                <w:szCs w:val="16"/>
              </w:rPr>
              <w:t xml:space="preserve"> Ms</w:t>
            </w:r>
          </w:p>
        </w:tc>
      </w:tr>
      <w:tr w:rsidR="005A2495" w:rsidRPr="00083ED8" w14:paraId="494399DA" w14:textId="77777777" w:rsidTr="00B523FF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588A1334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083ED8">
              <w:rPr>
                <w:rFonts w:cs="Arial"/>
                <w:sz w:val="16"/>
                <w:szCs w:val="16"/>
              </w:rPr>
              <w:t>Position/title</w:t>
            </w:r>
          </w:p>
          <w:p w14:paraId="440F88E2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3031B86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5A2495" w:rsidRPr="00083ED8" w14:paraId="74F33094" w14:textId="77777777" w:rsidTr="00B523FF">
        <w:trPr>
          <w:cantSplit/>
        </w:trPr>
        <w:tc>
          <w:tcPr>
            <w:tcW w:w="2517" w:type="pct"/>
            <w:tcMar>
              <w:top w:w="57" w:type="dxa"/>
              <w:bottom w:w="0" w:type="dxa"/>
            </w:tcMar>
          </w:tcPr>
          <w:p w14:paraId="4172268C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083ED8">
              <w:rPr>
                <w:rFonts w:cs="Arial"/>
                <w:sz w:val="16"/>
                <w:szCs w:val="16"/>
              </w:rPr>
              <w:t>Date</w:t>
            </w:r>
          </w:p>
          <w:p w14:paraId="533DA758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F49B6AD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pct"/>
            <w:gridSpan w:val="2"/>
            <w:tcMar>
              <w:top w:w="57" w:type="dxa"/>
              <w:bottom w:w="0" w:type="dxa"/>
            </w:tcMar>
          </w:tcPr>
          <w:p w14:paraId="49F217A3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083ED8">
              <w:rPr>
                <w:rFonts w:cs="Arial"/>
                <w:sz w:val="16"/>
                <w:szCs w:val="16"/>
              </w:rPr>
              <w:t>Signature</w:t>
            </w:r>
          </w:p>
          <w:p w14:paraId="6781ADBE" w14:textId="77777777" w:rsidR="005A2495" w:rsidRPr="00083ED8" w:rsidRDefault="005A2495" w:rsidP="00B523FF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  <w:tr w:rsidR="005A2495" w:rsidRPr="00083ED8" w14:paraId="237C7343" w14:textId="77777777" w:rsidTr="00B523FF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309BA6D0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083ED8">
              <w:rPr>
                <w:rFonts w:cs="Arial"/>
                <w:sz w:val="16"/>
                <w:szCs w:val="16"/>
              </w:rPr>
              <w:t>Place</w:t>
            </w:r>
          </w:p>
          <w:p w14:paraId="5E5B3594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C235B8F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5A2495" w:rsidRPr="00083ED8" w14:paraId="28142FC7" w14:textId="77777777" w:rsidTr="00B523FF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785EA3FC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083ED8">
              <w:rPr>
                <w:rFonts w:cs="Arial"/>
                <w:sz w:val="16"/>
                <w:szCs w:val="16"/>
              </w:rPr>
              <w:t>Company stamp (if applicable)</w:t>
            </w:r>
          </w:p>
          <w:p w14:paraId="61C5E1CC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F7434A2" w14:textId="77777777" w:rsidR="005A2495" w:rsidRPr="00083ED8" w:rsidRDefault="005A2495" w:rsidP="00B523F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4BB4180F" w14:textId="77777777" w:rsidR="00C04771" w:rsidRPr="001A6114" w:rsidRDefault="00C04771" w:rsidP="0039363C">
      <w:pPr>
        <w:jc w:val="both"/>
        <w:rPr>
          <w:rFonts w:cs="Arial"/>
        </w:rPr>
      </w:pPr>
    </w:p>
    <w:sectPr w:rsidR="00C04771" w:rsidRPr="001A6114" w:rsidSect="003118BD">
      <w:headerReference w:type="even" r:id="rId11"/>
      <w:head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BD95" w14:textId="77777777" w:rsidR="00C90724" w:rsidRDefault="00C90724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25BDA0F0" w14:textId="77777777" w:rsidR="00C90724" w:rsidRDefault="00C9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0E16" w14:textId="67495125" w:rsidR="00E6496D" w:rsidRDefault="00437DCE">
    <w:pPr>
      <w:pStyle w:val="Pieddepage"/>
    </w:pPr>
    <w:r>
      <w:t>Hal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AB4F" w14:textId="77777777" w:rsidR="00C90724" w:rsidRDefault="00C90724" w:rsidP="009E7ADC">
      <w:pPr>
        <w:rPr>
          <w:sz w:val="18"/>
        </w:rPr>
      </w:pPr>
    </w:p>
  </w:footnote>
  <w:footnote w:type="continuationSeparator" w:id="0">
    <w:p w14:paraId="4874AC8A" w14:textId="77777777" w:rsidR="00C90724" w:rsidRPr="00252BCD" w:rsidRDefault="00C90724" w:rsidP="009E7ADC">
      <w:pPr>
        <w:rPr>
          <w:sz w:val="18"/>
          <w:szCs w:val="18"/>
        </w:rPr>
      </w:pPr>
    </w:p>
  </w:footnote>
  <w:footnote w:type="continuationNotice" w:id="1">
    <w:p w14:paraId="4D1DA0D1" w14:textId="77777777" w:rsidR="00C90724" w:rsidRPr="00252BCD" w:rsidRDefault="00C90724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5560" w14:textId="77777777" w:rsidR="00527FF5" w:rsidRDefault="00527FF5">
    <w:pPr>
      <w:jc w:val="center"/>
    </w:pPr>
    <w:r>
      <w:pgNum/>
    </w:r>
  </w:p>
  <w:p w14:paraId="24BD1E04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A41F" w14:textId="77777777" w:rsidR="00527FF5" w:rsidRDefault="00527FF5" w:rsidP="00F639BA">
    <w:pPr>
      <w:jc w:val="center"/>
    </w:pPr>
    <w:r>
      <w:pgNum/>
    </w:r>
  </w:p>
  <w:p w14:paraId="6C1C08FC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497BE61F" w14:textId="77777777">
      <w:trPr>
        <w:trHeight w:val="1418"/>
      </w:trPr>
      <w:tc>
        <w:tcPr>
          <w:tcW w:w="3119" w:type="dxa"/>
        </w:tcPr>
        <w:p w14:paraId="0D3DE720" w14:textId="77777777" w:rsidR="00F87364" w:rsidRDefault="00EC4EAC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F83A7EE" wp14:editId="08CE256A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95CBB7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F83A7E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4D95CBB7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77DFFB7" wp14:editId="67C7EFC3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2411C3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677DFFB7"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692411C3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950">
            <w:rPr>
              <w:noProof/>
              <w:lang w:eastAsia="en-GB"/>
            </w:rPr>
            <w:drawing>
              <wp:inline distT="0" distB="0" distL="0" distR="0" wp14:anchorId="7C45F556" wp14:editId="22E1DADB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63365B01" w14:textId="59D4F140" w:rsidR="0010514C" w:rsidRDefault="00C90724" w:rsidP="004D4CE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 w:rsidRPr="00C90724">
            <w:rPr>
              <w:rFonts w:cs="Arial"/>
            </w:rPr>
            <w:t>Annex 6 to call for tenders RFP-2026-</w:t>
          </w:r>
          <w:r w:rsidR="009C7BF2">
            <w:rPr>
              <w:rFonts w:cs="Arial"/>
            </w:rPr>
            <w:t>008</w:t>
          </w:r>
        </w:p>
        <w:p w14:paraId="374E14AC" w14:textId="77777777" w:rsidR="00282FAD" w:rsidRPr="001813EE" w:rsidRDefault="00282FAD" w:rsidP="001567C5">
          <w:pPr>
            <w:autoSpaceDE w:val="0"/>
            <w:autoSpaceDN w:val="0"/>
            <w:adjustRightInd w:val="0"/>
            <w:jc w:val="right"/>
          </w:pPr>
        </w:p>
      </w:tc>
    </w:tr>
  </w:tbl>
  <w:p w14:paraId="313812B9" w14:textId="77777777" w:rsidR="003104EA" w:rsidRPr="00376861" w:rsidRDefault="003104EA" w:rsidP="009C7BF2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14A"/>
    <w:multiLevelType w:val="hybridMultilevel"/>
    <w:tmpl w:val="9CD66D0A"/>
    <w:lvl w:ilvl="0" w:tplc="7416EB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5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 w15:restartNumberingAfterBreak="0">
    <w:nsid w:val="7743088C"/>
    <w:multiLevelType w:val="hybridMultilevel"/>
    <w:tmpl w:val="F8CC4D48"/>
    <w:lvl w:ilvl="0" w:tplc="E86E7F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1"/>
  </w:num>
  <w:num w:numId="6">
    <w:abstractNumId w:val="17"/>
  </w:num>
  <w:num w:numId="7">
    <w:abstractNumId w:val="18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5"/>
  </w:num>
  <w:num w:numId="13">
    <w:abstractNumId w:val="1"/>
  </w:num>
  <w:num w:numId="14">
    <w:abstractNumId w:val="14"/>
  </w:num>
  <w:num w:numId="15">
    <w:abstractNumId w:val="3"/>
  </w:num>
  <w:num w:numId="16">
    <w:abstractNumId w:val="14"/>
  </w:num>
  <w:num w:numId="17">
    <w:abstractNumId w:val="1"/>
  </w:num>
  <w:num w:numId="18">
    <w:abstractNumId w:val="3"/>
  </w:num>
  <w:num w:numId="19">
    <w:abstractNumId w:val="5"/>
  </w:num>
  <w:num w:numId="20">
    <w:abstractNumId w:val="8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24"/>
    <w:rsid w:val="000021DD"/>
    <w:rsid w:val="00004D2B"/>
    <w:rsid w:val="00012EF7"/>
    <w:rsid w:val="0002298F"/>
    <w:rsid w:val="00023669"/>
    <w:rsid w:val="000240AC"/>
    <w:rsid w:val="00026EC5"/>
    <w:rsid w:val="000465C9"/>
    <w:rsid w:val="000569F6"/>
    <w:rsid w:val="00065EFE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567C5"/>
    <w:rsid w:val="00161F92"/>
    <w:rsid w:val="0017006D"/>
    <w:rsid w:val="00172757"/>
    <w:rsid w:val="0017649C"/>
    <w:rsid w:val="00176BF4"/>
    <w:rsid w:val="001813EE"/>
    <w:rsid w:val="00182CE5"/>
    <w:rsid w:val="001921EB"/>
    <w:rsid w:val="001A4314"/>
    <w:rsid w:val="001A6114"/>
    <w:rsid w:val="001B35D6"/>
    <w:rsid w:val="001C6BEC"/>
    <w:rsid w:val="002314E8"/>
    <w:rsid w:val="00232DCA"/>
    <w:rsid w:val="00243A44"/>
    <w:rsid w:val="00252BCD"/>
    <w:rsid w:val="00261EAE"/>
    <w:rsid w:val="00265762"/>
    <w:rsid w:val="0026706D"/>
    <w:rsid w:val="00272937"/>
    <w:rsid w:val="00282124"/>
    <w:rsid w:val="00282FAD"/>
    <w:rsid w:val="0029168C"/>
    <w:rsid w:val="002A3142"/>
    <w:rsid w:val="002A663B"/>
    <w:rsid w:val="002B1B7A"/>
    <w:rsid w:val="002B2A67"/>
    <w:rsid w:val="002B66E8"/>
    <w:rsid w:val="002C3576"/>
    <w:rsid w:val="002C6090"/>
    <w:rsid w:val="002E35B9"/>
    <w:rsid w:val="002F0806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864BA"/>
    <w:rsid w:val="0039363C"/>
    <w:rsid w:val="003B1F46"/>
    <w:rsid w:val="003E1B9E"/>
    <w:rsid w:val="003E52C0"/>
    <w:rsid w:val="003F1D49"/>
    <w:rsid w:val="00416A3A"/>
    <w:rsid w:val="00421698"/>
    <w:rsid w:val="00422F57"/>
    <w:rsid w:val="00437DCE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701F"/>
    <w:rsid w:val="00524F92"/>
    <w:rsid w:val="00527FF5"/>
    <w:rsid w:val="005345AF"/>
    <w:rsid w:val="00536401"/>
    <w:rsid w:val="00564836"/>
    <w:rsid w:val="00565476"/>
    <w:rsid w:val="00570EDB"/>
    <w:rsid w:val="005749CB"/>
    <w:rsid w:val="00577828"/>
    <w:rsid w:val="00590BBB"/>
    <w:rsid w:val="005A1FD5"/>
    <w:rsid w:val="005A249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63832"/>
    <w:rsid w:val="006724B1"/>
    <w:rsid w:val="00694A79"/>
    <w:rsid w:val="00694B19"/>
    <w:rsid w:val="006A600A"/>
    <w:rsid w:val="006A79AB"/>
    <w:rsid w:val="006B02CA"/>
    <w:rsid w:val="006B1882"/>
    <w:rsid w:val="006B4528"/>
    <w:rsid w:val="006B77EF"/>
    <w:rsid w:val="006C019C"/>
    <w:rsid w:val="006C47EF"/>
    <w:rsid w:val="006D5D8D"/>
    <w:rsid w:val="006E36B1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29AB"/>
    <w:rsid w:val="0077420D"/>
    <w:rsid w:val="00780CBD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E68"/>
    <w:rsid w:val="00843281"/>
    <w:rsid w:val="00857B50"/>
    <w:rsid w:val="0087570D"/>
    <w:rsid w:val="00881630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84786"/>
    <w:rsid w:val="009B449A"/>
    <w:rsid w:val="009C5BD0"/>
    <w:rsid w:val="009C7BF2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23A9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37349"/>
    <w:rsid w:val="00B40E14"/>
    <w:rsid w:val="00B458DD"/>
    <w:rsid w:val="00B54837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32D6"/>
    <w:rsid w:val="00BF5B9E"/>
    <w:rsid w:val="00C04771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0724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02A47"/>
    <w:rsid w:val="00F11A72"/>
    <w:rsid w:val="00F15EB7"/>
    <w:rsid w:val="00F33A54"/>
    <w:rsid w:val="00F36BD6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3562C1"/>
  <w15:docId w15:val="{15BB0E6F-87A1-48B8-95DA-41E6F3A5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2D6"/>
    <w:pPr>
      <w:spacing w:line="240" w:lineRule="atLeast"/>
    </w:pPr>
    <w:rPr>
      <w:rFonts w:ascii="Arial" w:hAnsi="Arial"/>
      <w:lang w:val="en-GB"/>
    </w:rPr>
  </w:style>
  <w:style w:type="paragraph" w:styleId="Titre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character" w:styleId="Lienhypertexte">
    <w:name w:val="Hyperlink"/>
    <w:basedOn w:val="Policepardfaut"/>
    <w:semiHidden/>
    <w:unhideWhenUsed/>
    <w:rsid w:val="00BF32D6"/>
    <w:rPr>
      <w:color w:val="auto"/>
      <w:u w:val="none"/>
    </w:rPr>
  </w:style>
  <w:style w:type="paragraph" w:styleId="Paragraphedeliste">
    <w:name w:val="List Paragraph"/>
    <w:basedOn w:val="Normal"/>
    <w:uiPriority w:val="34"/>
    <w:qFormat/>
    <w:rsid w:val="00C047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C04771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26576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6576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rsid w:val="00265762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657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65762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02D2-05AD-46BB-A75D-BB0C4F6E8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71831-2B3D-45AB-97D8-28F6BBB1C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c4347-1e49-4f11-a2de-cdc8b1236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D8904-AC4A-4F77-8DA2-735B9AC91CCF}">
  <ds:schemaRefs>
    <ds:schemaRef ds:uri="http://schemas.microsoft.com/office/2006/metadata/properties"/>
    <ds:schemaRef ds:uri="http://schemas.microsoft.com/office/infopath/2007/PartnerControls"/>
    <ds:schemaRef ds:uri="45bc4347-1e49-4f11-a2de-cdc8b1236453"/>
  </ds:schemaRefs>
</ds:datastoreItem>
</file>

<file path=customXml/itemProps4.xml><?xml version="1.0" encoding="utf-8"?>
<ds:datastoreItem xmlns:ds="http://schemas.openxmlformats.org/officeDocument/2006/customXml" ds:itemID="{75DFD01F-1391-4800-9DD3-775FF2D0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57</TotalTime>
  <Pages>2</Pages>
  <Words>437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CORCORAN sarah</dc:creator>
  <cp:lastModifiedBy>NOBILE oksana</cp:lastModifiedBy>
  <cp:revision>18</cp:revision>
  <cp:lastPrinted>2026-03-03T11:04:00Z</cp:lastPrinted>
  <dcterms:created xsi:type="dcterms:W3CDTF">2026-03-03T10:40:00Z</dcterms:created>
  <dcterms:modified xsi:type="dcterms:W3CDTF">2026-03-24T08:39:00Z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