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9" w:type="dxa"/>
        <w:tblInd w:w="-113" w:type="dxa"/>
        <w:tblLook w:val="00A0" w:firstRow="1" w:lastRow="0" w:firstColumn="1" w:lastColumn="0" w:noHBand="0" w:noVBand="0"/>
      </w:tblPr>
      <w:tblGrid>
        <w:gridCol w:w="5353"/>
        <w:gridCol w:w="272"/>
        <w:gridCol w:w="4114"/>
      </w:tblGrid>
      <w:tr w:rsidR="00AD4D5A" w:rsidRPr="00653D2A" w14:paraId="6E8C8F83" w14:textId="77777777" w:rsidTr="003319D6">
        <w:trPr>
          <w:trHeight w:val="1927"/>
        </w:trPr>
        <w:tc>
          <w:tcPr>
            <w:tcW w:w="5353" w:type="dxa"/>
            <w:vMerge w:val="restart"/>
            <w:tcBorders>
              <w:top w:val="nil"/>
              <w:left w:val="nil"/>
              <w:right w:val="nil"/>
            </w:tcBorders>
          </w:tcPr>
          <w:p w14:paraId="4266AD53" w14:textId="77777777" w:rsidR="00AD4D5A" w:rsidRPr="004A1174" w:rsidRDefault="00E830A0" w:rsidP="00AA7C54">
            <w:pPr>
              <w:autoSpaceDE w:val="0"/>
              <w:autoSpaceDN w:val="0"/>
              <w:adjustRightInd w:val="0"/>
              <w:spacing w:line="200" w:lineRule="exact"/>
              <w:rPr>
                <w:rFonts w:cs="Arial"/>
                <w:b/>
                <w:sz w:val="15"/>
                <w:szCs w:val="15"/>
                <w:lang w:val="de-CH"/>
              </w:rPr>
            </w:pPr>
            <w:bookmarkStart w:id="0" w:name="_GoBack"/>
            <w:bookmarkEnd w:id="0"/>
            <w:r w:rsidRPr="00653D2A">
              <w:rPr>
                <w:rFonts w:cs="Arial"/>
                <w:b/>
                <w:noProof/>
                <w:sz w:val="15"/>
                <w:szCs w:val="15"/>
                <w:lang w:val="en-US" w:eastAsia="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ge">
                        <wp:posOffset>1943100</wp:posOffset>
                      </wp:positionV>
                      <wp:extent cx="312420" cy="0"/>
                      <wp:effectExtent l="9525" t="9525" r="11430" b="952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8DB2"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153pt" to="-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MYEAIAACg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" strokeweight=".25pt">
                      <w10:wrap anchory="page"/>
                    </v:line>
                  </w:pict>
                </mc:Fallback>
              </mc:AlternateContent>
            </w:r>
            <w:r w:rsidR="00AA7C54" w:rsidRPr="004A1174">
              <w:rPr>
                <w:rFonts w:cs="Arial"/>
                <w:b/>
                <w:sz w:val="15"/>
                <w:szCs w:val="15"/>
                <w:lang w:val="de-CH"/>
              </w:rPr>
              <w:t xml:space="preserve">UPU </w:t>
            </w:r>
            <w:r w:rsidR="00AD4D5A" w:rsidRPr="004A1174">
              <w:rPr>
                <w:rFonts w:cs="Arial"/>
                <w:b/>
                <w:sz w:val="15"/>
                <w:szCs w:val="15"/>
                <w:lang w:val="de-CH"/>
              </w:rPr>
              <w:t>International Bureau</w:t>
            </w:r>
          </w:p>
          <w:p w14:paraId="78142264" w14:textId="77777777" w:rsidR="00AD4D5A" w:rsidRPr="004A1174" w:rsidRDefault="00AD4D5A" w:rsidP="00E96C2A">
            <w:pPr>
              <w:autoSpaceDE w:val="0"/>
              <w:autoSpaceDN w:val="0"/>
              <w:adjustRightInd w:val="0"/>
              <w:spacing w:line="200" w:lineRule="exact"/>
              <w:rPr>
                <w:rFonts w:cs="Arial"/>
                <w:sz w:val="15"/>
                <w:szCs w:val="15"/>
                <w:lang w:val="de-CH"/>
              </w:rPr>
            </w:pPr>
            <w:r w:rsidRPr="004A1174">
              <w:rPr>
                <w:rFonts w:cs="Arial"/>
                <w:sz w:val="15"/>
                <w:szCs w:val="15"/>
                <w:lang w:val="de-CH"/>
              </w:rPr>
              <w:t>Weltpoststrasse 4</w:t>
            </w:r>
          </w:p>
          <w:p w14:paraId="37783CFB" w14:textId="77777777" w:rsidR="00AD4D5A" w:rsidRPr="004A1174" w:rsidRDefault="00AD4D5A" w:rsidP="00AA7C54">
            <w:pPr>
              <w:autoSpaceDE w:val="0"/>
              <w:autoSpaceDN w:val="0"/>
              <w:adjustRightInd w:val="0"/>
              <w:spacing w:line="200" w:lineRule="exact"/>
              <w:rPr>
                <w:rFonts w:cs="Arial"/>
                <w:sz w:val="15"/>
                <w:szCs w:val="15"/>
                <w:lang w:val="de-CH"/>
              </w:rPr>
            </w:pPr>
            <w:r w:rsidRPr="004A1174">
              <w:rPr>
                <w:rFonts w:cs="Arial"/>
                <w:sz w:val="15"/>
                <w:szCs w:val="15"/>
                <w:lang w:val="de-CH"/>
              </w:rPr>
              <w:t>30</w:t>
            </w:r>
            <w:r w:rsidR="00AA7C54" w:rsidRPr="004A1174">
              <w:rPr>
                <w:rFonts w:cs="Arial"/>
                <w:sz w:val="15"/>
                <w:szCs w:val="15"/>
                <w:lang w:val="de-CH"/>
              </w:rPr>
              <w:t>15</w:t>
            </w:r>
            <w:r w:rsidRPr="004A1174">
              <w:rPr>
                <w:rFonts w:cs="Arial"/>
                <w:sz w:val="15"/>
                <w:szCs w:val="15"/>
                <w:lang w:val="de-CH"/>
              </w:rPr>
              <w:t xml:space="preserve"> BERNE</w:t>
            </w:r>
          </w:p>
          <w:p w14:paraId="1AC83D55" w14:textId="77777777" w:rsidR="00AD4D5A" w:rsidRPr="004A1174" w:rsidRDefault="00AD4D5A" w:rsidP="00E96C2A">
            <w:pPr>
              <w:autoSpaceDE w:val="0"/>
              <w:autoSpaceDN w:val="0"/>
              <w:adjustRightInd w:val="0"/>
              <w:spacing w:line="200" w:lineRule="exact"/>
              <w:rPr>
                <w:rFonts w:cs="Arial"/>
                <w:sz w:val="15"/>
                <w:szCs w:val="15"/>
                <w:lang w:val="de-CH"/>
              </w:rPr>
            </w:pPr>
            <w:r w:rsidRPr="004A1174">
              <w:rPr>
                <w:rFonts w:cs="Arial"/>
                <w:sz w:val="15"/>
                <w:szCs w:val="15"/>
                <w:lang w:val="de-CH"/>
              </w:rPr>
              <w:t>SWITZERLAND</w:t>
            </w:r>
          </w:p>
          <w:p w14:paraId="0EE598AF" w14:textId="77777777" w:rsidR="00AD4D5A" w:rsidRPr="00653D2A" w:rsidRDefault="00AD4D5A" w:rsidP="00E96C2A">
            <w:pPr>
              <w:autoSpaceDE w:val="0"/>
              <w:autoSpaceDN w:val="0"/>
              <w:adjustRightInd w:val="0"/>
              <w:spacing w:before="120" w:line="200" w:lineRule="exact"/>
              <w:rPr>
                <w:rFonts w:cs="Arial"/>
                <w:sz w:val="15"/>
                <w:szCs w:val="15"/>
              </w:rPr>
            </w:pPr>
            <w:r w:rsidRPr="00653D2A">
              <w:rPr>
                <w:rFonts w:cs="Arial"/>
                <w:sz w:val="15"/>
                <w:szCs w:val="15"/>
              </w:rPr>
              <w:t>T +41 31 350 31 11</w:t>
            </w:r>
          </w:p>
          <w:p w14:paraId="191F2AE6" w14:textId="77777777" w:rsidR="00AD4D5A" w:rsidRPr="00653D2A" w:rsidRDefault="00AD4D5A" w:rsidP="00E96C2A">
            <w:pPr>
              <w:autoSpaceDE w:val="0"/>
              <w:autoSpaceDN w:val="0"/>
              <w:adjustRightInd w:val="0"/>
              <w:spacing w:line="200" w:lineRule="exact"/>
              <w:rPr>
                <w:rFonts w:cs="Arial"/>
                <w:sz w:val="15"/>
                <w:szCs w:val="15"/>
              </w:rPr>
            </w:pPr>
            <w:r w:rsidRPr="00653D2A">
              <w:rPr>
                <w:rFonts w:cs="Arial"/>
                <w:sz w:val="15"/>
                <w:szCs w:val="15"/>
              </w:rPr>
              <w:t>F +41 31 350 31 10</w:t>
            </w:r>
          </w:p>
          <w:p w14:paraId="5BBD6B4E" w14:textId="77777777" w:rsidR="00AD4D5A" w:rsidRPr="00653D2A" w:rsidRDefault="00AD4D5A" w:rsidP="00E96C2A">
            <w:pPr>
              <w:autoSpaceDE w:val="0"/>
              <w:autoSpaceDN w:val="0"/>
              <w:adjustRightInd w:val="0"/>
              <w:spacing w:line="200" w:lineRule="exact"/>
              <w:rPr>
                <w:rFonts w:cs="Arial"/>
                <w:sz w:val="15"/>
                <w:szCs w:val="15"/>
              </w:rPr>
            </w:pPr>
            <w:r w:rsidRPr="00653D2A">
              <w:rPr>
                <w:rFonts w:cs="Arial"/>
                <w:sz w:val="15"/>
                <w:szCs w:val="15"/>
              </w:rPr>
              <w:t>www.upu.int</w:t>
            </w:r>
          </w:p>
          <w:p w14:paraId="0CCA808E" w14:textId="77777777" w:rsidR="00AD4D5A" w:rsidRPr="00653D2A" w:rsidRDefault="00AD4D5A" w:rsidP="00E96C2A">
            <w:pPr>
              <w:autoSpaceDE w:val="0"/>
              <w:autoSpaceDN w:val="0"/>
              <w:adjustRightInd w:val="0"/>
              <w:spacing w:line="200" w:lineRule="exact"/>
              <w:rPr>
                <w:rFonts w:cs="Arial"/>
                <w:sz w:val="15"/>
                <w:szCs w:val="15"/>
              </w:rPr>
            </w:pPr>
          </w:p>
          <w:p w14:paraId="4FB28CAB" w14:textId="77777777" w:rsidR="00AD4D5A" w:rsidRPr="00653D2A" w:rsidRDefault="00AD4D5A" w:rsidP="00E96C2A">
            <w:pPr>
              <w:autoSpaceDE w:val="0"/>
              <w:autoSpaceDN w:val="0"/>
              <w:adjustRightInd w:val="0"/>
              <w:spacing w:line="200" w:lineRule="exact"/>
              <w:rPr>
                <w:rFonts w:cs="Arial"/>
                <w:sz w:val="15"/>
                <w:szCs w:val="15"/>
              </w:rPr>
            </w:pPr>
          </w:p>
          <w:p w14:paraId="0FCB6819" w14:textId="77777777" w:rsidR="00AD4D5A" w:rsidRPr="00653D2A" w:rsidRDefault="00AD4D5A" w:rsidP="00E96C2A">
            <w:pPr>
              <w:autoSpaceDE w:val="0"/>
              <w:autoSpaceDN w:val="0"/>
              <w:adjustRightInd w:val="0"/>
              <w:spacing w:line="200" w:lineRule="exact"/>
              <w:rPr>
                <w:rFonts w:cs="Arial"/>
                <w:sz w:val="15"/>
                <w:szCs w:val="15"/>
              </w:rPr>
            </w:pPr>
            <w:r w:rsidRPr="00653D2A">
              <w:rPr>
                <w:rFonts w:cs="Arial"/>
                <w:sz w:val="15"/>
                <w:szCs w:val="15"/>
              </w:rPr>
              <w:t xml:space="preserve">Contact: </w:t>
            </w:r>
            <w:r w:rsidR="00A82328" w:rsidRPr="00653D2A">
              <w:rPr>
                <w:rFonts w:cs="Arial"/>
                <w:sz w:val="15"/>
                <w:szCs w:val="15"/>
              </w:rPr>
              <w:t>Ms Susan Alexander</w:t>
            </w:r>
          </w:p>
          <w:p w14:paraId="096530BF" w14:textId="77777777" w:rsidR="00AD4D5A" w:rsidRPr="004A1174" w:rsidRDefault="00AD4D5A" w:rsidP="00E96C2A">
            <w:pPr>
              <w:autoSpaceDE w:val="0"/>
              <w:autoSpaceDN w:val="0"/>
              <w:adjustRightInd w:val="0"/>
              <w:spacing w:line="200" w:lineRule="exact"/>
              <w:rPr>
                <w:rFonts w:cs="Arial"/>
                <w:sz w:val="15"/>
                <w:szCs w:val="15"/>
                <w:lang w:val="de-CH"/>
              </w:rPr>
            </w:pPr>
            <w:r w:rsidRPr="004A1174">
              <w:rPr>
                <w:rFonts w:cs="Arial"/>
                <w:sz w:val="15"/>
                <w:szCs w:val="15"/>
                <w:lang w:val="de-CH"/>
              </w:rPr>
              <w:t>T +</w:t>
            </w:r>
            <w:r w:rsidR="00A82328" w:rsidRPr="004A1174">
              <w:rPr>
                <w:rFonts w:cs="Arial"/>
                <w:sz w:val="15"/>
                <w:szCs w:val="15"/>
                <w:lang w:val="de-CH"/>
              </w:rPr>
              <w:t>41 31 350 33 38</w:t>
            </w:r>
          </w:p>
          <w:p w14:paraId="0A0BC291" w14:textId="77777777" w:rsidR="00AD4D5A" w:rsidRPr="004A1174" w:rsidRDefault="00A82328" w:rsidP="00E96C2A">
            <w:pPr>
              <w:autoSpaceDE w:val="0"/>
              <w:autoSpaceDN w:val="0"/>
              <w:adjustRightInd w:val="0"/>
              <w:spacing w:line="200" w:lineRule="exact"/>
              <w:rPr>
                <w:lang w:val="de-CH"/>
              </w:rPr>
            </w:pPr>
            <w:r w:rsidRPr="004A1174">
              <w:rPr>
                <w:rFonts w:cs="Arial"/>
                <w:sz w:val="15"/>
                <w:szCs w:val="15"/>
                <w:lang w:val="de-CH"/>
              </w:rPr>
              <w:t>susan.alexander</w:t>
            </w:r>
            <w:r w:rsidR="00AD4D5A" w:rsidRPr="004A1174">
              <w:rPr>
                <w:rFonts w:cs="Arial"/>
                <w:sz w:val="15"/>
                <w:szCs w:val="15"/>
                <w:lang w:val="de-CH"/>
              </w:rPr>
              <w:t>@upu.int</w:t>
            </w:r>
          </w:p>
        </w:tc>
        <w:tc>
          <w:tcPr>
            <w:tcW w:w="272" w:type="dxa"/>
            <w:tcBorders>
              <w:top w:val="nil"/>
              <w:left w:val="nil"/>
              <w:right w:val="nil"/>
            </w:tcBorders>
          </w:tcPr>
          <w:p w14:paraId="0033EA7B" w14:textId="77777777" w:rsidR="00AD4D5A" w:rsidRPr="004A1174" w:rsidRDefault="00AD4D5A" w:rsidP="00E96C2A">
            <w:pPr>
              <w:autoSpaceDE w:val="0"/>
              <w:autoSpaceDN w:val="0"/>
              <w:adjustRightInd w:val="0"/>
              <w:ind w:left="-117" w:right="-108"/>
              <w:rPr>
                <w:rFonts w:cs="Arial"/>
                <w:lang w:val="de-CH"/>
              </w:rPr>
            </w:pPr>
          </w:p>
        </w:tc>
        <w:tc>
          <w:tcPr>
            <w:tcW w:w="4114" w:type="dxa"/>
            <w:tcBorders>
              <w:top w:val="nil"/>
              <w:left w:val="nil"/>
              <w:bottom w:val="nil"/>
              <w:right w:val="nil"/>
            </w:tcBorders>
            <w:tcMar>
              <w:left w:w="0" w:type="dxa"/>
            </w:tcMar>
          </w:tcPr>
          <w:p w14:paraId="62B70DD4" w14:textId="77777777" w:rsidR="00A82328" w:rsidRPr="00653D2A" w:rsidRDefault="00A82328" w:rsidP="00A82328">
            <w:pPr>
              <w:autoSpaceDE w:val="0"/>
              <w:autoSpaceDN w:val="0"/>
              <w:adjustRightInd w:val="0"/>
              <w:rPr>
                <w:rFonts w:cs="Arial"/>
              </w:rPr>
            </w:pPr>
            <w:r w:rsidRPr="00653D2A">
              <w:rPr>
                <w:rFonts w:cs="Arial"/>
              </w:rPr>
              <w:t xml:space="preserve">To: </w:t>
            </w:r>
            <w:r w:rsidRPr="00653D2A">
              <w:rPr>
                <w:rFonts w:cs="Arial"/>
              </w:rPr>
              <w:tab/>
              <w:t>Union member countries</w:t>
            </w:r>
          </w:p>
          <w:p w14:paraId="239A711C" w14:textId="77777777" w:rsidR="00A82328" w:rsidRPr="00653D2A" w:rsidRDefault="00A82328" w:rsidP="00A82328">
            <w:pPr>
              <w:autoSpaceDE w:val="0"/>
              <w:autoSpaceDN w:val="0"/>
              <w:adjustRightInd w:val="0"/>
              <w:rPr>
                <w:rFonts w:cs="Arial"/>
              </w:rPr>
            </w:pPr>
          </w:p>
          <w:p w14:paraId="76F20108" w14:textId="77777777" w:rsidR="00A82328" w:rsidRPr="00653D2A" w:rsidRDefault="00A82328" w:rsidP="00A82328">
            <w:pPr>
              <w:autoSpaceDE w:val="0"/>
              <w:autoSpaceDN w:val="0"/>
              <w:adjustRightInd w:val="0"/>
              <w:rPr>
                <w:rFonts w:cs="Arial"/>
              </w:rPr>
            </w:pPr>
            <w:r w:rsidRPr="00653D2A">
              <w:rPr>
                <w:rFonts w:cs="Arial"/>
              </w:rPr>
              <w:t>For information to:</w:t>
            </w:r>
          </w:p>
          <w:p w14:paraId="3D1E8325" w14:textId="77777777" w:rsidR="00A82328" w:rsidRPr="00653D2A" w:rsidRDefault="00A82328" w:rsidP="00A82328">
            <w:pPr>
              <w:autoSpaceDE w:val="0"/>
              <w:autoSpaceDN w:val="0"/>
              <w:adjustRightInd w:val="0"/>
              <w:spacing w:before="120"/>
              <w:rPr>
                <w:rFonts w:cs="Arial"/>
              </w:rPr>
            </w:pPr>
            <w:r w:rsidRPr="00653D2A">
              <w:rPr>
                <w:rFonts w:cs="Arial"/>
              </w:rPr>
              <w:tab/>
              <w:t>Designated operators</w:t>
            </w:r>
          </w:p>
          <w:p w14:paraId="569A0A5E" w14:textId="77777777" w:rsidR="00AD4D5A" w:rsidRPr="00653D2A" w:rsidRDefault="00A82328" w:rsidP="00A82328">
            <w:pPr>
              <w:spacing w:before="120"/>
            </w:pPr>
            <w:r w:rsidRPr="00653D2A">
              <w:rPr>
                <w:rFonts w:cs="Arial"/>
              </w:rPr>
              <w:tab/>
              <w:t>Restricted unions</w:t>
            </w:r>
          </w:p>
        </w:tc>
      </w:tr>
      <w:tr w:rsidR="00AD4D5A" w:rsidRPr="00653D2A" w14:paraId="797EEFF6" w14:textId="77777777" w:rsidTr="003319D6">
        <w:trPr>
          <w:trHeight w:val="1158"/>
        </w:trPr>
        <w:tc>
          <w:tcPr>
            <w:tcW w:w="5353" w:type="dxa"/>
            <w:vMerge/>
            <w:tcBorders>
              <w:left w:val="nil"/>
              <w:bottom w:val="nil"/>
              <w:right w:val="nil"/>
            </w:tcBorders>
          </w:tcPr>
          <w:p w14:paraId="216A8CDA" w14:textId="77777777" w:rsidR="00AD4D5A" w:rsidRPr="00653D2A" w:rsidRDefault="00AD4D5A" w:rsidP="00E96C2A">
            <w:pPr>
              <w:autoSpaceDE w:val="0"/>
              <w:autoSpaceDN w:val="0"/>
              <w:adjustRightInd w:val="0"/>
              <w:spacing w:line="200" w:lineRule="exact"/>
              <w:rPr>
                <w:rFonts w:cs="Arial"/>
                <w:b/>
                <w:sz w:val="15"/>
                <w:szCs w:val="15"/>
                <w:lang w:eastAsia="fr-FR"/>
              </w:rPr>
            </w:pPr>
          </w:p>
        </w:tc>
        <w:tc>
          <w:tcPr>
            <w:tcW w:w="272" w:type="dxa"/>
            <w:tcBorders>
              <w:left w:val="nil"/>
              <w:bottom w:val="nil"/>
              <w:right w:val="nil"/>
            </w:tcBorders>
          </w:tcPr>
          <w:p w14:paraId="0FAA4F34" w14:textId="77777777" w:rsidR="00AD4D5A" w:rsidRPr="00653D2A" w:rsidRDefault="00AD4D5A" w:rsidP="00E96C2A">
            <w:pPr>
              <w:autoSpaceDE w:val="0"/>
              <w:autoSpaceDN w:val="0"/>
              <w:adjustRightInd w:val="0"/>
              <w:spacing w:before="240"/>
              <w:ind w:left="-117" w:right="-108"/>
              <w:rPr>
                <w:rFonts w:cs="Arial"/>
              </w:rPr>
            </w:pPr>
          </w:p>
        </w:tc>
        <w:tc>
          <w:tcPr>
            <w:tcW w:w="4114" w:type="dxa"/>
            <w:tcBorders>
              <w:top w:val="nil"/>
              <w:left w:val="nil"/>
              <w:bottom w:val="nil"/>
              <w:right w:val="nil"/>
            </w:tcBorders>
            <w:tcMar>
              <w:left w:w="0" w:type="dxa"/>
            </w:tcMar>
          </w:tcPr>
          <w:p w14:paraId="13AD46B9" w14:textId="77777777" w:rsidR="00AD4D5A" w:rsidRPr="00653D2A" w:rsidRDefault="00AD4D5A" w:rsidP="00A82328">
            <w:pPr>
              <w:autoSpaceDE w:val="0"/>
              <w:autoSpaceDN w:val="0"/>
              <w:adjustRightInd w:val="0"/>
              <w:spacing w:before="240"/>
              <w:jc w:val="both"/>
              <w:rPr>
                <w:rFonts w:cs="Arial"/>
              </w:rPr>
            </w:pPr>
            <w:r w:rsidRPr="00653D2A">
              <w:rPr>
                <w:rFonts w:cs="Arial"/>
              </w:rPr>
              <w:t xml:space="preserve">Berne, </w:t>
            </w:r>
            <w:r w:rsidR="00A82328" w:rsidRPr="00653D2A">
              <w:rPr>
                <w:rFonts w:cs="Arial"/>
              </w:rPr>
              <w:t>27</w:t>
            </w:r>
            <w:r w:rsidRPr="00653D2A">
              <w:rPr>
                <w:rFonts w:cs="Arial"/>
              </w:rPr>
              <w:t xml:space="preserve"> </w:t>
            </w:r>
            <w:r w:rsidR="00A82328" w:rsidRPr="00653D2A">
              <w:rPr>
                <w:rFonts w:cs="Arial"/>
              </w:rPr>
              <w:t>May</w:t>
            </w:r>
            <w:r w:rsidRPr="00653D2A">
              <w:rPr>
                <w:rFonts w:cs="Arial"/>
              </w:rPr>
              <w:t xml:space="preserve"> </w:t>
            </w:r>
            <w:r w:rsidR="00D9280B" w:rsidRPr="00653D2A">
              <w:t>20</w:t>
            </w:r>
            <w:r w:rsidR="007D0D48" w:rsidRPr="00653D2A">
              <w:t>2</w:t>
            </w:r>
            <w:r w:rsidR="00795991" w:rsidRPr="00653D2A">
              <w:t>1</w:t>
            </w:r>
          </w:p>
        </w:tc>
      </w:tr>
    </w:tbl>
    <w:p w14:paraId="15C89885" w14:textId="77777777" w:rsidR="005A1FD5" w:rsidRPr="00653D2A" w:rsidRDefault="005A1FD5" w:rsidP="00655369">
      <w:pPr>
        <w:pStyle w:val="0Textedebase"/>
      </w:pPr>
    </w:p>
    <w:p w14:paraId="4B8FEC60" w14:textId="77777777" w:rsidR="005A1FD5" w:rsidRPr="00653D2A" w:rsidRDefault="005A1FD5" w:rsidP="00655369">
      <w:pPr>
        <w:jc w:val="both"/>
        <w:rPr>
          <w:rFonts w:cs="Arial"/>
        </w:rPr>
      </w:pPr>
    </w:p>
    <w:p w14:paraId="6B6BF258" w14:textId="77777777" w:rsidR="00D86CDF" w:rsidRPr="00653D2A" w:rsidRDefault="00D86CDF" w:rsidP="00A82328">
      <w:pPr>
        <w:jc w:val="both"/>
        <w:rPr>
          <w:rFonts w:cs="Arial"/>
        </w:rPr>
      </w:pPr>
      <w:r w:rsidRPr="00653D2A">
        <w:rPr>
          <w:rFonts w:cs="Arial"/>
          <w:b/>
        </w:rPr>
        <w:t>R</w:t>
      </w:r>
      <w:r w:rsidR="00C5058D" w:rsidRPr="00653D2A">
        <w:rPr>
          <w:rFonts w:cs="Arial"/>
          <w:b/>
        </w:rPr>
        <w:t>e</w:t>
      </w:r>
      <w:r w:rsidRPr="00653D2A">
        <w:rPr>
          <w:rFonts w:cs="Arial"/>
          <w:b/>
        </w:rPr>
        <w:t>f</w:t>
      </w:r>
      <w:r w:rsidR="00C5058D" w:rsidRPr="00653D2A">
        <w:rPr>
          <w:rFonts w:cs="Arial"/>
          <w:b/>
        </w:rPr>
        <w:t>e</w:t>
      </w:r>
      <w:r w:rsidRPr="00653D2A">
        <w:rPr>
          <w:rFonts w:cs="Arial"/>
          <w:b/>
        </w:rPr>
        <w:t xml:space="preserve">rence: </w:t>
      </w:r>
      <w:r w:rsidR="00A82328" w:rsidRPr="00653D2A">
        <w:rPr>
          <w:rFonts w:cs="Arial"/>
        </w:rPr>
        <w:t>2150(DPRM.URS)1061</w:t>
      </w:r>
    </w:p>
    <w:p w14:paraId="273D0126" w14:textId="77777777" w:rsidR="005A1FD5" w:rsidRPr="00653D2A" w:rsidRDefault="00C5058D" w:rsidP="00A82328">
      <w:pPr>
        <w:autoSpaceDE w:val="0"/>
        <w:autoSpaceDN w:val="0"/>
        <w:adjustRightInd w:val="0"/>
        <w:jc w:val="both"/>
        <w:rPr>
          <w:rFonts w:cs="Arial"/>
          <w:b/>
        </w:rPr>
      </w:pPr>
      <w:r w:rsidRPr="00653D2A">
        <w:rPr>
          <w:rFonts w:cs="Arial"/>
          <w:b/>
        </w:rPr>
        <w:t>Su</w:t>
      </w:r>
      <w:r w:rsidR="005A1FD5" w:rsidRPr="00653D2A">
        <w:rPr>
          <w:rFonts w:cs="Arial"/>
          <w:b/>
        </w:rPr>
        <w:t>bje</w:t>
      </w:r>
      <w:r w:rsidRPr="00653D2A">
        <w:rPr>
          <w:rFonts w:cs="Arial"/>
          <w:b/>
        </w:rPr>
        <w:t>c</w:t>
      </w:r>
      <w:r w:rsidR="005A1FD5" w:rsidRPr="00653D2A">
        <w:rPr>
          <w:rFonts w:cs="Arial"/>
          <w:b/>
        </w:rPr>
        <w:t xml:space="preserve">t: </w:t>
      </w:r>
      <w:r w:rsidR="00A82328" w:rsidRPr="00653D2A">
        <w:rPr>
          <w:rFonts w:cs="Arial"/>
          <w:b/>
        </w:rPr>
        <w:t>Update on the status of organization of the 27th UPU Congress</w:t>
      </w:r>
    </w:p>
    <w:p w14:paraId="6A61C6EC" w14:textId="77777777" w:rsidR="005A1FD5" w:rsidRPr="00653D2A" w:rsidRDefault="005A1FD5" w:rsidP="00655369">
      <w:pPr>
        <w:autoSpaceDE w:val="0"/>
        <w:autoSpaceDN w:val="0"/>
        <w:adjustRightInd w:val="0"/>
        <w:jc w:val="both"/>
        <w:rPr>
          <w:rFonts w:cs="Arial"/>
        </w:rPr>
      </w:pPr>
    </w:p>
    <w:p w14:paraId="44194DCF" w14:textId="77777777" w:rsidR="005A1FD5" w:rsidRPr="00653D2A" w:rsidRDefault="005A1FD5" w:rsidP="00655369">
      <w:pPr>
        <w:autoSpaceDE w:val="0"/>
        <w:autoSpaceDN w:val="0"/>
        <w:adjustRightInd w:val="0"/>
        <w:jc w:val="both"/>
        <w:rPr>
          <w:rFonts w:cs="Arial"/>
        </w:rPr>
      </w:pPr>
    </w:p>
    <w:p w14:paraId="19CAE4A1" w14:textId="77777777" w:rsidR="00C5058D" w:rsidRPr="00653D2A" w:rsidRDefault="00C5058D" w:rsidP="00655369">
      <w:pPr>
        <w:autoSpaceDE w:val="0"/>
        <w:autoSpaceDN w:val="0"/>
        <w:adjustRightInd w:val="0"/>
        <w:jc w:val="both"/>
        <w:rPr>
          <w:rFonts w:cs="Arial"/>
        </w:rPr>
      </w:pPr>
      <w:r w:rsidRPr="00653D2A">
        <w:rPr>
          <w:rFonts w:cs="Arial"/>
        </w:rPr>
        <w:t>Dear Sir/Madam,</w:t>
      </w:r>
    </w:p>
    <w:p w14:paraId="17B1B395" w14:textId="77777777" w:rsidR="00C5058D" w:rsidRPr="00653D2A" w:rsidRDefault="00C5058D" w:rsidP="00655369">
      <w:pPr>
        <w:autoSpaceDE w:val="0"/>
        <w:autoSpaceDN w:val="0"/>
        <w:adjustRightInd w:val="0"/>
        <w:jc w:val="both"/>
        <w:rPr>
          <w:rFonts w:cs="Arial"/>
        </w:rPr>
      </w:pPr>
    </w:p>
    <w:p w14:paraId="17430C5C" w14:textId="77777777" w:rsidR="00A82328" w:rsidRPr="00653D2A" w:rsidRDefault="00A82328" w:rsidP="00A82328">
      <w:pPr>
        <w:pStyle w:val="0Textedebase"/>
      </w:pPr>
      <w:r w:rsidRPr="00653D2A">
        <w:t>As you will be aware, since the outbreak of the COVID-19 pandemic, the International Bureau (IB) has kept Union member countries regularly updated on developments with the organization of the 27th</w:t>
      </w:r>
      <w:r w:rsidRPr="00653D2A" w:rsidDel="00417EAB">
        <w:t xml:space="preserve"> </w:t>
      </w:r>
      <w:r w:rsidRPr="00653D2A">
        <w:t>Congress through a dedicated UPU Congress web page (</w:t>
      </w:r>
      <w:hyperlink r:id="rId11" w:history="1">
        <w:r w:rsidR="00653D2A" w:rsidRPr="004A1174">
          <w:t>www.upu.int/en/Universal-Postal-Union/About-UPU/</w:t>
        </w:r>
        <w:r w:rsidR="00653D2A" w:rsidRPr="004A1174">
          <w:br/>
          <w:t>Bodies/Congress</w:t>
        </w:r>
      </w:hyperlink>
      <w:r w:rsidRPr="00653D2A">
        <w:t>) and associated circular letters.</w:t>
      </w:r>
    </w:p>
    <w:p w14:paraId="023DE5DD" w14:textId="77777777" w:rsidR="00A82328" w:rsidRPr="00653D2A" w:rsidRDefault="00A82328" w:rsidP="00655369">
      <w:pPr>
        <w:autoSpaceDE w:val="0"/>
        <w:autoSpaceDN w:val="0"/>
        <w:adjustRightInd w:val="0"/>
        <w:jc w:val="both"/>
        <w:rPr>
          <w:rFonts w:cs="Arial"/>
        </w:rPr>
      </w:pPr>
    </w:p>
    <w:p w14:paraId="1BA80ADB" w14:textId="77777777" w:rsidR="00A82328" w:rsidRPr="00653D2A" w:rsidRDefault="00A82328" w:rsidP="00A82328">
      <w:pPr>
        <w:pStyle w:val="0Textedebase"/>
      </w:pPr>
      <w:r w:rsidRPr="00653D2A">
        <w:t xml:space="preserve">In particular, the IB has issued two circular letters, 2009(DIRCAB)1039 of 20 April 2020 and 2009(DIRCAB)1055 of 14 May 2020, specifically relating to the postponement of the Abidjan Congress. </w:t>
      </w:r>
    </w:p>
    <w:p w14:paraId="18B5368D" w14:textId="77777777" w:rsidR="00A82328" w:rsidRPr="00653D2A" w:rsidRDefault="00A82328" w:rsidP="00A82328">
      <w:pPr>
        <w:pStyle w:val="0Textedebase"/>
      </w:pPr>
    </w:p>
    <w:p w14:paraId="7AFA722C" w14:textId="77777777" w:rsidR="00A82328" w:rsidRPr="00653D2A" w:rsidRDefault="00A82328" w:rsidP="00A82328">
      <w:pPr>
        <w:pStyle w:val="0Textedebase"/>
      </w:pPr>
      <w:r w:rsidRPr="00653D2A">
        <w:t>The Council of Administration (CA) held an exceptional session on 26 and 27 October 2020, during which it decided, in the light of the current exceptional circumstances, to maintain Abidjan as the host city of the 27th</w:t>
      </w:r>
      <w:r w:rsidRPr="00653D2A" w:rsidDel="00417EAB">
        <w:t xml:space="preserve"> </w:t>
      </w:r>
      <w:r w:rsidRPr="00653D2A">
        <w:t xml:space="preserve">Congress, and to endorse the Republic of Côte d’Ivoire’s request to reschedule the convening of this event for August 2021. </w:t>
      </w:r>
    </w:p>
    <w:p w14:paraId="74FAEF9A" w14:textId="77777777" w:rsidR="00A82328" w:rsidRPr="00653D2A" w:rsidRDefault="00A82328" w:rsidP="00A82328">
      <w:pPr>
        <w:pStyle w:val="0Textedebase"/>
      </w:pPr>
    </w:p>
    <w:p w14:paraId="59C6DD41" w14:textId="77777777" w:rsidR="00A82328" w:rsidRPr="00653D2A" w:rsidRDefault="00A82328" w:rsidP="00A82328">
      <w:pPr>
        <w:pStyle w:val="0Textedebase"/>
      </w:pPr>
      <w:r w:rsidRPr="00653D2A">
        <w:t>The CA also instructed the Director General of the IB to: i) continue monitoring the situation with the Ivoirian Government; and ii) prepare a report, to be presented at the April 2021 CA session (S9), on the legal, logistical, technological and other arrangements that would be required to host the 27th Congress, including the possi</w:t>
      </w:r>
      <w:r w:rsidR="00653D2A">
        <w:softHyphen/>
      </w:r>
      <w:r w:rsidRPr="00653D2A">
        <w:t>bility of virtual representation, if it becomes evident by 30 June 2021 that it will no longer be possible to hold that Congress as currently planned (Exceptional CA decision 1/2020).</w:t>
      </w:r>
    </w:p>
    <w:p w14:paraId="3D22FF9F" w14:textId="77777777" w:rsidR="00A82328" w:rsidRPr="00653D2A" w:rsidRDefault="00A82328" w:rsidP="00655369">
      <w:pPr>
        <w:autoSpaceDE w:val="0"/>
        <w:autoSpaceDN w:val="0"/>
        <w:adjustRightInd w:val="0"/>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A82328" w:rsidRPr="00653D2A" w14:paraId="7FFA49E6" w14:textId="77777777" w:rsidTr="00997CE4">
        <w:tc>
          <w:tcPr>
            <w:tcW w:w="426" w:type="dxa"/>
          </w:tcPr>
          <w:p w14:paraId="02B55E04" w14:textId="77777777" w:rsidR="00A82328" w:rsidRPr="00653D2A" w:rsidRDefault="00A82328" w:rsidP="00997CE4">
            <w:pPr>
              <w:pStyle w:val="0Textedebase"/>
            </w:pPr>
          </w:p>
          <w:p w14:paraId="02E47E79" w14:textId="77777777" w:rsidR="00A82328" w:rsidRPr="00653D2A" w:rsidRDefault="00A82328" w:rsidP="00997CE4">
            <w:pPr>
              <w:pStyle w:val="0Textedebase"/>
            </w:pPr>
            <w:r w:rsidRPr="00653D2A">
              <w:t>/</w:t>
            </w:r>
          </w:p>
        </w:tc>
        <w:tc>
          <w:tcPr>
            <w:tcW w:w="9639" w:type="dxa"/>
          </w:tcPr>
          <w:p w14:paraId="12D49239" w14:textId="77777777" w:rsidR="00A82328" w:rsidRPr="00653D2A" w:rsidRDefault="00A82328" w:rsidP="00997CE4">
            <w:pPr>
              <w:pStyle w:val="0Textedebase"/>
            </w:pPr>
            <w:r w:rsidRPr="00653D2A">
              <w:t>At CA S9, the Ivoirian Government reaffirmed its commitment to hold the 27th Congress in Abidjan (copy of statement attached).</w:t>
            </w:r>
          </w:p>
        </w:tc>
      </w:tr>
    </w:tbl>
    <w:p w14:paraId="3FF1F3C9" w14:textId="77777777" w:rsidR="00A82328" w:rsidRPr="00653D2A" w:rsidRDefault="00A82328" w:rsidP="00655369">
      <w:pPr>
        <w:autoSpaceDE w:val="0"/>
        <w:autoSpaceDN w:val="0"/>
        <w:adjustRightInd w:val="0"/>
        <w:jc w:val="both"/>
        <w:rPr>
          <w:rFonts w:cs="Arial"/>
        </w:rPr>
      </w:pPr>
    </w:p>
    <w:p w14:paraId="402237C4" w14:textId="77777777" w:rsidR="00A82328" w:rsidRPr="00653D2A" w:rsidRDefault="00A82328" w:rsidP="00A82328">
      <w:pPr>
        <w:pStyle w:val="0Textedebase"/>
      </w:pPr>
      <w:r w:rsidRPr="00653D2A">
        <w:t xml:space="preserve">Regarding the implementation of Exceptional CA decision 1/2020, the IB presented document CA 2021.1–Doc 12c on the legal, logistical, technological and other arrangements that would be required to host the 27th Congress with the possibility of remote representation. </w:t>
      </w:r>
    </w:p>
    <w:p w14:paraId="7BC23A8F" w14:textId="77777777" w:rsidR="00A82328" w:rsidRPr="00653D2A" w:rsidRDefault="00A82328" w:rsidP="00A82328">
      <w:pPr>
        <w:pStyle w:val="0Textedebase"/>
      </w:pPr>
    </w:p>
    <w:p w14:paraId="654D706A" w14:textId="77777777" w:rsidR="00A82328" w:rsidRPr="00653D2A" w:rsidRDefault="00A82328" w:rsidP="00A82328">
      <w:pPr>
        <w:pStyle w:val="0Textedebase"/>
      </w:pPr>
      <w:r w:rsidRPr="00653D2A">
        <w:t>At its April session, the CA thoroughly discussed a number of aspects that would need to be addressed in order to convene the 27th Congress and, in particular, the steps to be taken in order to allow for remote representation at Congress. These covered necessary adjustments to the Rules of Procedure of Congresses (RoPC), the conduct of Congress meetings and the Congress timetable in a context of remote representation, the delegate registration process, as well as other associated logistical and technological aspects. As a result of the discussions, the CA endorsed the submission of CA 2021.1–Doc 12c to the 27th</w:t>
      </w:r>
      <w:r w:rsidRPr="00653D2A" w:rsidDel="00417EAB">
        <w:t xml:space="preserve"> </w:t>
      </w:r>
      <w:r w:rsidRPr="00653D2A">
        <w:t xml:space="preserve">Congress for its </w:t>
      </w:r>
      <w:r w:rsidRPr="00653D2A">
        <w:lastRenderedPageBreak/>
        <w:t>approval in accordance with article 28 of the RoPC, subject to whatever decision is ultimately taken by the CA by the 30 June deadline.</w:t>
      </w:r>
    </w:p>
    <w:p w14:paraId="66DE8512" w14:textId="77777777" w:rsidR="00A82328" w:rsidRPr="00653D2A" w:rsidRDefault="00A82328" w:rsidP="00A82328">
      <w:pPr>
        <w:pStyle w:val="0Textedebase"/>
      </w:pPr>
    </w:p>
    <w:p w14:paraId="01A3F955" w14:textId="77777777" w:rsidR="00A82328" w:rsidRPr="00653D2A" w:rsidRDefault="00A82328" w:rsidP="00A82328">
      <w:pPr>
        <w:pStyle w:val="0Textedebase"/>
      </w:pPr>
      <w:r w:rsidRPr="00653D2A">
        <w:t>Rest assured that the International Bureau will continue to monitor the situation in coordination with the host country authorities and inform Union member countries accordingly, with a view to ensuring the success of the 27th</w:t>
      </w:r>
      <w:r w:rsidRPr="00653D2A" w:rsidDel="00417EAB">
        <w:t xml:space="preserve"> </w:t>
      </w:r>
      <w:r w:rsidRPr="00653D2A">
        <w:t>UPU Congress.</w:t>
      </w:r>
    </w:p>
    <w:p w14:paraId="0AA0D3AD" w14:textId="77777777" w:rsidR="003C2100" w:rsidRPr="00653D2A" w:rsidRDefault="003C2100" w:rsidP="00655369">
      <w:pPr>
        <w:autoSpaceDE w:val="0"/>
        <w:autoSpaceDN w:val="0"/>
        <w:adjustRightInd w:val="0"/>
        <w:jc w:val="both"/>
        <w:rPr>
          <w:rFonts w:cs="Arial"/>
        </w:rPr>
      </w:pPr>
    </w:p>
    <w:p w14:paraId="56E54440" w14:textId="77777777" w:rsidR="00F87A5B" w:rsidRPr="00653D2A" w:rsidRDefault="00F87A5B" w:rsidP="00655369">
      <w:pPr>
        <w:jc w:val="both"/>
      </w:pPr>
    </w:p>
    <w:p w14:paraId="34783DA1" w14:textId="77777777" w:rsidR="00C5058D" w:rsidRPr="00653D2A" w:rsidRDefault="00A82328" w:rsidP="00F63FF8">
      <w:pPr>
        <w:jc w:val="both"/>
      </w:pPr>
      <w:r w:rsidRPr="00653D2A">
        <w:t>Yours faithfully,</w:t>
      </w:r>
    </w:p>
    <w:tbl>
      <w:tblPr>
        <w:tblW w:w="0" w:type="auto"/>
        <w:tblInd w:w="-113" w:type="dxa"/>
        <w:tblLook w:val="01E0" w:firstRow="1" w:lastRow="1" w:firstColumn="1" w:lastColumn="1" w:noHBand="0" w:noVBand="0"/>
      </w:tblPr>
      <w:tblGrid>
        <w:gridCol w:w="5512"/>
        <w:gridCol w:w="4227"/>
      </w:tblGrid>
      <w:tr w:rsidR="00FC6DFB" w:rsidRPr="00653D2A" w14:paraId="53425CC1" w14:textId="77777777" w:rsidTr="003319D6">
        <w:tc>
          <w:tcPr>
            <w:tcW w:w="5512" w:type="dxa"/>
            <w:shd w:val="clear" w:color="auto" w:fill="auto"/>
          </w:tcPr>
          <w:p w14:paraId="03E11AB7" w14:textId="77777777" w:rsidR="00F63FF8" w:rsidRDefault="00F63FF8" w:rsidP="00655369">
            <w:pPr>
              <w:pStyle w:val="Signature"/>
              <w:ind w:left="0"/>
              <w:rPr>
                <w:noProof/>
                <w:lang w:eastAsia="en-US"/>
              </w:rPr>
            </w:pPr>
          </w:p>
          <w:p w14:paraId="6DCA8E0F" w14:textId="77777777" w:rsidR="00E24F8A" w:rsidRDefault="00F63FF8" w:rsidP="00655369">
            <w:pPr>
              <w:pStyle w:val="Signature"/>
              <w:ind w:left="0"/>
              <w:rPr>
                <w:noProof/>
                <w:lang w:eastAsia="en-US"/>
              </w:rPr>
            </w:pPr>
            <w:r>
              <w:rPr>
                <w:noProof/>
                <w:lang w:eastAsia="en-US"/>
              </w:rPr>
              <w:t>(signed)</w:t>
            </w:r>
          </w:p>
          <w:p w14:paraId="0EB8BC67" w14:textId="77777777" w:rsidR="00F63FF8" w:rsidRPr="00F63FF8" w:rsidRDefault="00F63FF8" w:rsidP="00655369">
            <w:pPr>
              <w:pStyle w:val="Signature"/>
              <w:ind w:left="0"/>
            </w:pPr>
          </w:p>
          <w:p w14:paraId="60208512" w14:textId="77777777" w:rsidR="00FC6DFB" w:rsidRPr="004A1174" w:rsidRDefault="00A82328" w:rsidP="00F63FF8">
            <w:pPr>
              <w:pStyle w:val="Signature"/>
              <w:ind w:left="0"/>
              <w:rPr>
                <w:lang w:val="de-CH"/>
              </w:rPr>
            </w:pPr>
            <w:r w:rsidRPr="004A1174">
              <w:rPr>
                <w:lang w:val="de-CH"/>
              </w:rPr>
              <w:t>Bishar A. Hussein</w:t>
            </w:r>
          </w:p>
          <w:p w14:paraId="5A9DF295" w14:textId="77777777" w:rsidR="00FC6DFB" w:rsidRPr="004A1174" w:rsidRDefault="00A82328" w:rsidP="00655369">
            <w:pPr>
              <w:pStyle w:val="Signature"/>
              <w:ind w:left="0"/>
              <w:rPr>
                <w:lang w:val="de-CH"/>
              </w:rPr>
            </w:pPr>
            <w:r w:rsidRPr="004A1174">
              <w:rPr>
                <w:lang w:val="de-CH"/>
              </w:rPr>
              <w:t>Director General</w:t>
            </w:r>
          </w:p>
        </w:tc>
        <w:tc>
          <w:tcPr>
            <w:tcW w:w="4227" w:type="dxa"/>
            <w:shd w:val="clear" w:color="auto" w:fill="auto"/>
          </w:tcPr>
          <w:p w14:paraId="78701F4F" w14:textId="77777777" w:rsidR="00FC6DFB" w:rsidRPr="004A1174" w:rsidRDefault="00FC6DFB" w:rsidP="00655369">
            <w:pPr>
              <w:ind w:left="709" w:hanging="709"/>
              <w:rPr>
                <w:vanish/>
                <w:lang w:val="de-CH"/>
              </w:rPr>
            </w:pPr>
          </w:p>
          <w:p w14:paraId="006E0A19" w14:textId="77777777" w:rsidR="00FC6DFB" w:rsidRPr="004A1174" w:rsidRDefault="00FC6DFB" w:rsidP="00655369">
            <w:pPr>
              <w:ind w:left="709" w:hanging="709"/>
              <w:rPr>
                <w:vanish/>
                <w:lang w:val="de-CH"/>
              </w:rPr>
            </w:pPr>
          </w:p>
          <w:p w14:paraId="1885FFE1" w14:textId="77777777" w:rsidR="00FC6DFB" w:rsidRPr="004A1174" w:rsidRDefault="00FC6DFB" w:rsidP="00655369">
            <w:pPr>
              <w:ind w:left="709" w:hanging="709"/>
              <w:rPr>
                <w:vanish/>
                <w:lang w:val="de-CH"/>
              </w:rPr>
            </w:pPr>
          </w:p>
          <w:p w14:paraId="67B62750" w14:textId="77777777" w:rsidR="00FC6DFB" w:rsidRPr="00653D2A" w:rsidRDefault="00FC6DFB" w:rsidP="00655369">
            <w:pPr>
              <w:ind w:left="709" w:hanging="709"/>
              <w:rPr>
                <w:vanish/>
              </w:rPr>
            </w:pPr>
            <w:r w:rsidRPr="00653D2A">
              <w:rPr>
                <w:vanish/>
              </w:rPr>
              <w:t>Visas:</w:t>
            </w:r>
            <w:r w:rsidRPr="00653D2A">
              <w:rPr>
                <w:vanish/>
              </w:rPr>
              <w:tab/>
              <w:t>Xxx</w:t>
            </w:r>
          </w:p>
          <w:p w14:paraId="520F25D4" w14:textId="77777777" w:rsidR="00FC6DFB" w:rsidRPr="00653D2A" w:rsidRDefault="00FC6DFB" w:rsidP="00655369">
            <w:pPr>
              <w:ind w:left="709" w:hanging="709"/>
            </w:pPr>
          </w:p>
          <w:p w14:paraId="2A2B1E9E" w14:textId="77777777" w:rsidR="00FC6DFB" w:rsidRPr="00653D2A" w:rsidRDefault="00FC6DFB" w:rsidP="00655369">
            <w:pPr>
              <w:pStyle w:val="Signature"/>
              <w:ind w:left="0"/>
            </w:pPr>
            <w:r w:rsidRPr="00653D2A">
              <w:rPr>
                <w:vanish/>
              </w:rPr>
              <w:t>Internal copies:</w:t>
            </w:r>
            <w:r w:rsidRPr="00653D2A">
              <w:rPr>
                <w:vanish/>
              </w:rPr>
              <w:tab/>
              <w:t>Xxx</w:t>
            </w:r>
          </w:p>
        </w:tc>
      </w:tr>
    </w:tbl>
    <w:p w14:paraId="33ED2B49" w14:textId="77777777" w:rsidR="00D80050" w:rsidRPr="00653D2A" w:rsidRDefault="00D80050" w:rsidP="00655369">
      <w:pPr>
        <w:tabs>
          <w:tab w:val="left" w:pos="9072"/>
        </w:tabs>
        <w:jc w:val="both"/>
        <w:rPr>
          <w:rFonts w:cs="Arial"/>
        </w:rPr>
      </w:pPr>
    </w:p>
    <w:sectPr w:rsidR="00D80050" w:rsidRPr="00653D2A" w:rsidSect="003118B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026B" w14:textId="77777777" w:rsidR="009D081B" w:rsidRDefault="009D081B">
      <w:pPr>
        <w:spacing w:after="120"/>
        <w:rPr>
          <w:sz w:val="18"/>
        </w:rPr>
      </w:pPr>
      <w:r>
        <w:rPr>
          <w:sz w:val="18"/>
        </w:rPr>
        <w:t>____________</w:t>
      </w:r>
    </w:p>
  </w:endnote>
  <w:endnote w:type="continuationSeparator" w:id="0">
    <w:p w14:paraId="3B5BCAA4" w14:textId="77777777" w:rsidR="009D081B" w:rsidRDefault="009D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3286" w14:textId="77777777" w:rsidR="00196B10" w:rsidRPr="00837B3C" w:rsidRDefault="00A82328" w:rsidP="00693A37">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0F4E" w14:textId="77777777" w:rsidR="009D081B" w:rsidRDefault="009D081B" w:rsidP="009E7ADC">
      <w:pPr>
        <w:rPr>
          <w:sz w:val="18"/>
        </w:rPr>
      </w:pPr>
    </w:p>
  </w:footnote>
  <w:footnote w:type="continuationSeparator" w:id="0">
    <w:p w14:paraId="7C9CE7E4" w14:textId="77777777" w:rsidR="009D081B" w:rsidRDefault="009D081B" w:rsidP="009E7ADC"/>
  </w:footnote>
  <w:footnote w:type="continuationNotice" w:id="1">
    <w:p w14:paraId="0A7D1BA3" w14:textId="77777777" w:rsidR="009D081B" w:rsidRDefault="009D081B"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192E" w14:textId="77777777" w:rsidR="00196B10" w:rsidRDefault="00196B10">
    <w:pPr>
      <w:jc w:val="center"/>
    </w:pPr>
    <w:r>
      <w:pgNum/>
    </w:r>
  </w:p>
  <w:p w14:paraId="1F69F352" w14:textId="77777777" w:rsidR="00196B10" w:rsidRDefault="00196B1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0117" w14:textId="77777777" w:rsidR="00196B10" w:rsidRDefault="00196B10" w:rsidP="00F639BA">
    <w:pPr>
      <w:jc w:val="center"/>
    </w:pPr>
    <w:r>
      <w:pgNum/>
    </w:r>
  </w:p>
  <w:p w14:paraId="7E66C537" w14:textId="77777777" w:rsidR="00196B10" w:rsidRDefault="00196B10"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023E" w14:textId="77777777" w:rsidR="00196B10" w:rsidRPr="00C5058D" w:rsidRDefault="00E830A0" w:rsidP="009F5DD6">
    <w:pPr>
      <w:pStyle w:val="Header"/>
      <w:spacing w:after="1530"/>
    </w:pPr>
    <w:r>
      <w:rPr>
        <w:noProof/>
        <w:lang w:val="en-US" w:eastAsia="en-US"/>
      </w:rPr>
      <w:drawing>
        <wp:inline distT="0" distB="0" distL="0" distR="0" wp14:anchorId="1493B621" wp14:editId="01BEC15F">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BAB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8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FAA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5E3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8C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45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E8E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9C5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A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627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55F1"/>
    <w:multiLevelType w:val="singleLevel"/>
    <w:tmpl w:val="69A09B4E"/>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12" w15:restartNumberingAfterBreak="0">
    <w:nsid w:val="0DA519FE"/>
    <w:multiLevelType w:val="singleLevel"/>
    <w:tmpl w:val="83583FDE"/>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1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14" w15:restartNumberingAfterBreak="0">
    <w:nsid w:val="1CD43A61"/>
    <w:multiLevelType w:val="hybridMultilevel"/>
    <w:tmpl w:val="AF609BF4"/>
    <w:lvl w:ilvl="0" w:tplc="596E311A">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7" w15:restartNumberingAfterBreak="0">
    <w:nsid w:val="282A1579"/>
    <w:multiLevelType w:val="hybridMultilevel"/>
    <w:tmpl w:val="FB488474"/>
    <w:lvl w:ilvl="0" w:tplc="4642AD34">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ADB125E"/>
    <w:multiLevelType w:val="singleLevel"/>
    <w:tmpl w:val="8BACA780"/>
    <w:lvl w:ilvl="0">
      <w:numFmt w:val="bullet"/>
      <w:pStyle w:val="2Deuximeretrait"/>
      <w:lvlText w:val=""/>
      <w:lvlJc w:val="left"/>
      <w:pPr>
        <w:tabs>
          <w:tab w:val="num" w:pos="1134"/>
        </w:tabs>
        <w:ind w:left="1134" w:hanging="567"/>
      </w:pPr>
      <w:rPr>
        <w:rFonts w:ascii="Symbol" w:hAnsi="Symbol" w:hint="default"/>
      </w:rPr>
    </w:lvl>
  </w:abstractNum>
  <w:abstractNum w:abstractNumId="2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9"/>
  </w:num>
  <w:num w:numId="2">
    <w:abstractNumId w:val="18"/>
  </w:num>
  <w:num w:numId="3">
    <w:abstractNumId w:val="16"/>
  </w:num>
  <w:num w:numId="4">
    <w:abstractNumId w:val="15"/>
  </w:num>
  <w:num w:numId="5">
    <w:abstractNumId w:val="20"/>
  </w:num>
  <w:num w:numId="6">
    <w:abstractNumId w:val="25"/>
  </w:num>
  <w:num w:numId="7">
    <w:abstractNumId w:val="26"/>
  </w:num>
  <w:num w:numId="8">
    <w:abstractNumId w:val="13"/>
  </w:num>
  <w:num w:numId="9">
    <w:abstractNumId w:val="11"/>
  </w:num>
  <w:num w:numId="10">
    <w:abstractNumId w:val="22"/>
  </w:num>
  <w:num w:numId="11">
    <w:abstractNumId w:val="21"/>
  </w:num>
  <w:num w:numId="12">
    <w:abstractNumId w:val="24"/>
  </w:num>
  <w:num w:numId="13">
    <w:abstractNumId w:val="10"/>
  </w:num>
  <w:num w:numId="14">
    <w:abstractNumId w:val="23"/>
  </w:num>
  <w:num w:numId="15">
    <w:abstractNumId w:val="12"/>
  </w:num>
  <w:num w:numId="16">
    <w:abstractNumId w:val="23"/>
  </w:num>
  <w:num w:numId="17">
    <w:abstractNumId w:val="1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7"/>
  </w:num>
  <w:num w:numId="31">
    <w:abstractNumId w:val="10"/>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1B"/>
    <w:rsid w:val="000021DD"/>
    <w:rsid w:val="00004D2B"/>
    <w:rsid w:val="0002298F"/>
    <w:rsid w:val="00023669"/>
    <w:rsid w:val="00025C60"/>
    <w:rsid w:val="00026EC5"/>
    <w:rsid w:val="000617DC"/>
    <w:rsid w:val="0007488B"/>
    <w:rsid w:val="00077CA2"/>
    <w:rsid w:val="00096FC5"/>
    <w:rsid w:val="000A501F"/>
    <w:rsid w:val="000B24C3"/>
    <w:rsid w:val="000C6D5A"/>
    <w:rsid w:val="000D0476"/>
    <w:rsid w:val="000E0AB2"/>
    <w:rsid w:val="001006F4"/>
    <w:rsid w:val="00102D11"/>
    <w:rsid w:val="0010305B"/>
    <w:rsid w:val="00104F21"/>
    <w:rsid w:val="0011269C"/>
    <w:rsid w:val="00121A6F"/>
    <w:rsid w:val="00130DC2"/>
    <w:rsid w:val="001351E8"/>
    <w:rsid w:val="00152C50"/>
    <w:rsid w:val="00196B10"/>
    <w:rsid w:val="001A4314"/>
    <w:rsid w:val="001D75B3"/>
    <w:rsid w:val="001E73C5"/>
    <w:rsid w:val="00232DCA"/>
    <w:rsid w:val="002445A7"/>
    <w:rsid w:val="00256F6A"/>
    <w:rsid w:val="00262644"/>
    <w:rsid w:val="00262D50"/>
    <w:rsid w:val="0026706D"/>
    <w:rsid w:val="00272937"/>
    <w:rsid w:val="00274139"/>
    <w:rsid w:val="00282124"/>
    <w:rsid w:val="0029168C"/>
    <w:rsid w:val="002A3142"/>
    <w:rsid w:val="002A663B"/>
    <w:rsid w:val="002B1B7A"/>
    <w:rsid w:val="002B2A67"/>
    <w:rsid w:val="002C3576"/>
    <w:rsid w:val="002D251F"/>
    <w:rsid w:val="002F7773"/>
    <w:rsid w:val="003002DC"/>
    <w:rsid w:val="003118BD"/>
    <w:rsid w:val="00311D7D"/>
    <w:rsid w:val="00325132"/>
    <w:rsid w:val="003319D6"/>
    <w:rsid w:val="00331C6E"/>
    <w:rsid w:val="003361CE"/>
    <w:rsid w:val="003405FB"/>
    <w:rsid w:val="003407BC"/>
    <w:rsid w:val="00342CD6"/>
    <w:rsid w:val="00347469"/>
    <w:rsid w:val="00355163"/>
    <w:rsid w:val="00361DE6"/>
    <w:rsid w:val="00372B67"/>
    <w:rsid w:val="0037420A"/>
    <w:rsid w:val="003750AE"/>
    <w:rsid w:val="00390235"/>
    <w:rsid w:val="003A7730"/>
    <w:rsid w:val="003B1F46"/>
    <w:rsid w:val="003B6408"/>
    <w:rsid w:val="003C2100"/>
    <w:rsid w:val="003E598F"/>
    <w:rsid w:val="003E6DF8"/>
    <w:rsid w:val="00413709"/>
    <w:rsid w:val="004155E6"/>
    <w:rsid w:val="00422F57"/>
    <w:rsid w:val="00443780"/>
    <w:rsid w:val="00447223"/>
    <w:rsid w:val="0046077D"/>
    <w:rsid w:val="004611D5"/>
    <w:rsid w:val="00471CE5"/>
    <w:rsid w:val="00476943"/>
    <w:rsid w:val="0049418E"/>
    <w:rsid w:val="004A1174"/>
    <w:rsid w:val="004A31FB"/>
    <w:rsid w:val="004B5ACB"/>
    <w:rsid w:val="004C2117"/>
    <w:rsid w:val="004C4EBF"/>
    <w:rsid w:val="004D03CA"/>
    <w:rsid w:val="004D2DA6"/>
    <w:rsid w:val="004E05F3"/>
    <w:rsid w:val="004E1F28"/>
    <w:rsid w:val="004E2B3B"/>
    <w:rsid w:val="004E63E4"/>
    <w:rsid w:val="0051701F"/>
    <w:rsid w:val="00527D68"/>
    <w:rsid w:val="00527FF5"/>
    <w:rsid w:val="00570EDB"/>
    <w:rsid w:val="005749CB"/>
    <w:rsid w:val="00577828"/>
    <w:rsid w:val="00586CA8"/>
    <w:rsid w:val="00590BBB"/>
    <w:rsid w:val="005A1FD5"/>
    <w:rsid w:val="005B20C7"/>
    <w:rsid w:val="005C2838"/>
    <w:rsid w:val="005D36DD"/>
    <w:rsid w:val="005D36F8"/>
    <w:rsid w:val="005D42D7"/>
    <w:rsid w:val="005F0892"/>
    <w:rsid w:val="005F451F"/>
    <w:rsid w:val="005F4A1C"/>
    <w:rsid w:val="0063383F"/>
    <w:rsid w:val="00637585"/>
    <w:rsid w:val="00645F33"/>
    <w:rsid w:val="00653717"/>
    <w:rsid w:val="00653D2A"/>
    <w:rsid w:val="00653FFD"/>
    <w:rsid w:val="006541BC"/>
    <w:rsid w:val="00654B91"/>
    <w:rsid w:val="00655369"/>
    <w:rsid w:val="00656A8B"/>
    <w:rsid w:val="006724B1"/>
    <w:rsid w:val="00682C2B"/>
    <w:rsid w:val="00693A37"/>
    <w:rsid w:val="006A79AB"/>
    <w:rsid w:val="006B1882"/>
    <w:rsid w:val="006C019C"/>
    <w:rsid w:val="006C47EF"/>
    <w:rsid w:val="006E36B1"/>
    <w:rsid w:val="00717D08"/>
    <w:rsid w:val="0072637D"/>
    <w:rsid w:val="00756C4A"/>
    <w:rsid w:val="00757BB9"/>
    <w:rsid w:val="00761DEC"/>
    <w:rsid w:val="00762470"/>
    <w:rsid w:val="0076291C"/>
    <w:rsid w:val="00765B70"/>
    <w:rsid w:val="0077420D"/>
    <w:rsid w:val="00783C7C"/>
    <w:rsid w:val="007875DC"/>
    <w:rsid w:val="00791BDA"/>
    <w:rsid w:val="00795991"/>
    <w:rsid w:val="00796704"/>
    <w:rsid w:val="007A2839"/>
    <w:rsid w:val="007B6036"/>
    <w:rsid w:val="007C679A"/>
    <w:rsid w:val="007D07CD"/>
    <w:rsid w:val="007D0D48"/>
    <w:rsid w:val="007D2933"/>
    <w:rsid w:val="007D2C8A"/>
    <w:rsid w:val="007D6956"/>
    <w:rsid w:val="007E0A42"/>
    <w:rsid w:val="007F0F24"/>
    <w:rsid w:val="007F3A93"/>
    <w:rsid w:val="007F6E68"/>
    <w:rsid w:val="007F7FD6"/>
    <w:rsid w:val="00824599"/>
    <w:rsid w:val="00837B3C"/>
    <w:rsid w:val="00857B50"/>
    <w:rsid w:val="00866E62"/>
    <w:rsid w:val="00884828"/>
    <w:rsid w:val="00894CD8"/>
    <w:rsid w:val="00897E26"/>
    <w:rsid w:val="008A5A68"/>
    <w:rsid w:val="008B7E25"/>
    <w:rsid w:val="008D3810"/>
    <w:rsid w:val="008D6FE1"/>
    <w:rsid w:val="008E54AA"/>
    <w:rsid w:val="008E5E65"/>
    <w:rsid w:val="008E7619"/>
    <w:rsid w:val="008F12A9"/>
    <w:rsid w:val="0090313D"/>
    <w:rsid w:val="0091074C"/>
    <w:rsid w:val="00932DC4"/>
    <w:rsid w:val="00941240"/>
    <w:rsid w:val="009434D3"/>
    <w:rsid w:val="009569DE"/>
    <w:rsid w:val="00957FCD"/>
    <w:rsid w:val="009670FF"/>
    <w:rsid w:val="00974119"/>
    <w:rsid w:val="009B449A"/>
    <w:rsid w:val="009D081B"/>
    <w:rsid w:val="009D77AD"/>
    <w:rsid w:val="009E7ADC"/>
    <w:rsid w:val="009F052A"/>
    <w:rsid w:val="009F110E"/>
    <w:rsid w:val="009F36E2"/>
    <w:rsid w:val="009F5DD6"/>
    <w:rsid w:val="00A06C89"/>
    <w:rsid w:val="00A156D0"/>
    <w:rsid w:val="00A418A0"/>
    <w:rsid w:val="00A456E9"/>
    <w:rsid w:val="00A50210"/>
    <w:rsid w:val="00A53E1E"/>
    <w:rsid w:val="00A53FAB"/>
    <w:rsid w:val="00A5792F"/>
    <w:rsid w:val="00A60803"/>
    <w:rsid w:val="00A73891"/>
    <w:rsid w:val="00A809D7"/>
    <w:rsid w:val="00A82328"/>
    <w:rsid w:val="00A92377"/>
    <w:rsid w:val="00AA01D2"/>
    <w:rsid w:val="00AA61ED"/>
    <w:rsid w:val="00AA7C54"/>
    <w:rsid w:val="00AB33B4"/>
    <w:rsid w:val="00AB7653"/>
    <w:rsid w:val="00AC2359"/>
    <w:rsid w:val="00AD0FE6"/>
    <w:rsid w:val="00AD4D5A"/>
    <w:rsid w:val="00AE2BF2"/>
    <w:rsid w:val="00B00E3F"/>
    <w:rsid w:val="00B010D9"/>
    <w:rsid w:val="00B0690A"/>
    <w:rsid w:val="00B11447"/>
    <w:rsid w:val="00B14020"/>
    <w:rsid w:val="00B1711E"/>
    <w:rsid w:val="00B21492"/>
    <w:rsid w:val="00B262DA"/>
    <w:rsid w:val="00B30CB2"/>
    <w:rsid w:val="00B46DE4"/>
    <w:rsid w:val="00B66008"/>
    <w:rsid w:val="00B7190D"/>
    <w:rsid w:val="00B838AD"/>
    <w:rsid w:val="00B86608"/>
    <w:rsid w:val="00BA404F"/>
    <w:rsid w:val="00BC0807"/>
    <w:rsid w:val="00BC1442"/>
    <w:rsid w:val="00BF2822"/>
    <w:rsid w:val="00BF5B9E"/>
    <w:rsid w:val="00C06D24"/>
    <w:rsid w:val="00C21452"/>
    <w:rsid w:val="00C2769E"/>
    <w:rsid w:val="00C34308"/>
    <w:rsid w:val="00C35110"/>
    <w:rsid w:val="00C402AE"/>
    <w:rsid w:val="00C5058D"/>
    <w:rsid w:val="00C74B88"/>
    <w:rsid w:val="00C7698C"/>
    <w:rsid w:val="00C84F50"/>
    <w:rsid w:val="00C91301"/>
    <w:rsid w:val="00C91C2F"/>
    <w:rsid w:val="00C950C2"/>
    <w:rsid w:val="00CA1046"/>
    <w:rsid w:val="00CA3D20"/>
    <w:rsid w:val="00CB46BD"/>
    <w:rsid w:val="00CC0402"/>
    <w:rsid w:val="00CC3161"/>
    <w:rsid w:val="00CC7367"/>
    <w:rsid w:val="00CD03E7"/>
    <w:rsid w:val="00CE2270"/>
    <w:rsid w:val="00D03D72"/>
    <w:rsid w:val="00D154F8"/>
    <w:rsid w:val="00D212A4"/>
    <w:rsid w:val="00D34F97"/>
    <w:rsid w:val="00D42C38"/>
    <w:rsid w:val="00D50254"/>
    <w:rsid w:val="00D64064"/>
    <w:rsid w:val="00D73262"/>
    <w:rsid w:val="00D80050"/>
    <w:rsid w:val="00D868D9"/>
    <w:rsid w:val="00D86CDF"/>
    <w:rsid w:val="00D9280B"/>
    <w:rsid w:val="00D94916"/>
    <w:rsid w:val="00DA1914"/>
    <w:rsid w:val="00DA4F52"/>
    <w:rsid w:val="00DA646A"/>
    <w:rsid w:val="00DB24AB"/>
    <w:rsid w:val="00DB7EC0"/>
    <w:rsid w:val="00DC4D86"/>
    <w:rsid w:val="00DD363A"/>
    <w:rsid w:val="00E0289B"/>
    <w:rsid w:val="00E048A5"/>
    <w:rsid w:val="00E21E13"/>
    <w:rsid w:val="00E24F8A"/>
    <w:rsid w:val="00E270C8"/>
    <w:rsid w:val="00E31D00"/>
    <w:rsid w:val="00E3448B"/>
    <w:rsid w:val="00E3731A"/>
    <w:rsid w:val="00E42805"/>
    <w:rsid w:val="00E67713"/>
    <w:rsid w:val="00E72B05"/>
    <w:rsid w:val="00E76C5C"/>
    <w:rsid w:val="00E830A0"/>
    <w:rsid w:val="00E96C2A"/>
    <w:rsid w:val="00EA19D5"/>
    <w:rsid w:val="00EC487D"/>
    <w:rsid w:val="00ED183A"/>
    <w:rsid w:val="00ED6707"/>
    <w:rsid w:val="00ED7E1E"/>
    <w:rsid w:val="00F11A72"/>
    <w:rsid w:val="00F15EB7"/>
    <w:rsid w:val="00F247AE"/>
    <w:rsid w:val="00F33A54"/>
    <w:rsid w:val="00F521BF"/>
    <w:rsid w:val="00F6214A"/>
    <w:rsid w:val="00F639BA"/>
    <w:rsid w:val="00F63FF8"/>
    <w:rsid w:val="00F82090"/>
    <w:rsid w:val="00F87A5B"/>
    <w:rsid w:val="00F963C3"/>
    <w:rsid w:val="00FA2EFC"/>
    <w:rsid w:val="00FC5E68"/>
    <w:rsid w:val="00FC6DFB"/>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595FD0C2"/>
  <w15:docId w15:val="{2D1AD1BA-DE8D-4DAA-8896-DC9B0B7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A8"/>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586CA8"/>
    <w:pPr>
      <w:jc w:val="both"/>
    </w:pPr>
  </w:style>
  <w:style w:type="paragraph" w:customStyle="1" w:styleId="1Premierretrait">
    <w:name w:val="1 Premier retrait"/>
    <w:basedOn w:val="0Textedebase"/>
    <w:rsid w:val="00586CA8"/>
    <w:pPr>
      <w:numPr>
        <w:numId w:val="31"/>
      </w:numPr>
      <w:spacing w:before="120"/>
    </w:pPr>
  </w:style>
  <w:style w:type="paragraph" w:customStyle="1" w:styleId="2Deuximeretrait">
    <w:name w:val="2 Deuxième retrait"/>
    <w:basedOn w:val="0Textedebase"/>
    <w:rsid w:val="00586CA8"/>
    <w:pPr>
      <w:numPr>
        <w:numId w:val="32"/>
      </w:numPr>
      <w:spacing w:before="120"/>
    </w:pPr>
  </w:style>
  <w:style w:type="paragraph" w:customStyle="1" w:styleId="3Troisimeretrait">
    <w:name w:val="3 Troisième retrait"/>
    <w:basedOn w:val="0Textedebase"/>
    <w:rsid w:val="00586CA8"/>
    <w:pPr>
      <w:numPr>
        <w:numId w:val="33"/>
      </w:numPr>
      <w:spacing w:before="120"/>
    </w:pPr>
  </w:style>
  <w:style w:type="paragraph" w:styleId="Signature">
    <w:name w:val="Signature"/>
    <w:basedOn w:val="Normal"/>
    <w:rsid w:val="00262644"/>
    <w:pPr>
      <w:ind w:left="550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table" w:styleId="TableGrid">
    <w:name w:val="Table Grid"/>
    <w:basedOn w:val="TableNormal"/>
    <w:rsid w:val="004C211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Premierretraittable">
    <w:name w:val="1a Premier retrait table"/>
    <w:basedOn w:val="1Premierretrait"/>
    <w:qFormat/>
    <w:rsid w:val="00256F6A"/>
    <w:pPr>
      <w:tabs>
        <w:tab w:val="clear" w:pos="567"/>
        <w:tab w:val="num" w:pos="284"/>
      </w:tabs>
      <w:spacing w:before="60" w:after="60"/>
      <w:ind w:left="284" w:hanging="284"/>
    </w:pPr>
  </w:style>
  <w:style w:type="paragraph" w:customStyle="1" w:styleId="2aDeuxiemeretraittable">
    <w:name w:val="2a Deuxieme retrait table"/>
    <w:basedOn w:val="2Deuximeretrait"/>
    <w:qFormat/>
    <w:rsid w:val="00256F6A"/>
    <w:pPr>
      <w:tabs>
        <w:tab w:val="clear" w:pos="1134"/>
        <w:tab w:val="num" w:pos="567"/>
      </w:tabs>
      <w:spacing w:before="60" w:after="60"/>
      <w:ind w:left="568"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A19D5"/>
    <w:pPr>
      <w:autoSpaceDE w:val="0"/>
      <w:autoSpaceDN w:val="0"/>
      <w:adjustRightInd w:val="0"/>
      <w:jc w:val="both"/>
    </w:pPr>
    <w:rPr>
      <w:rFonts w:cs="Arial"/>
    </w:rPr>
  </w:style>
  <w:style w:type="paragraph" w:customStyle="1" w:styleId="3aTroisiemeretraittable">
    <w:name w:val="3a Troisieme retrait table"/>
    <w:basedOn w:val="3Troisimeretrait"/>
    <w:qFormat/>
    <w:rsid w:val="00256F6A"/>
    <w:pPr>
      <w:tabs>
        <w:tab w:val="clear" w:pos="1701"/>
        <w:tab w:val="num" w:pos="851"/>
      </w:tabs>
      <w:spacing w:before="60" w:after="60"/>
      <w:ind w:left="851" w:hanging="284"/>
    </w:pPr>
  </w:style>
  <w:style w:type="character" w:styleId="Hyperlink">
    <w:name w:val="Hyperlink"/>
    <w:basedOn w:val="DefaultParagraphFont"/>
    <w:unhideWhenUsed/>
    <w:rsid w:val="00A82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u.int/en/Universal-Postal-Union/About-UPU/Bodies/Congr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PEGASE-7-971448</_dlc_DocId>
    <_dlc_DocIdUrl xmlns="b4ec4095-9810-4e60-b964-3161185fe897">
      <Url>https://pegase.upu.int/_layouts/DocIdRedir.aspx?ID=PEGASE-7-971448</Url>
      <Description>PEGASE-7-971448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DEC1C-B061-4A89-B9AB-480254FDCD0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674C83B1-18A1-4070-A18F-10BF69432FEB}">
  <ds:schemaRefs>
    <ds:schemaRef ds:uri="http://schemas.microsoft.com/sharepoint/v3/contenttype/forms"/>
  </ds:schemaRefs>
</ds:datastoreItem>
</file>

<file path=customXml/itemProps3.xml><?xml version="1.0" encoding="utf-8"?>
<ds:datastoreItem xmlns:ds="http://schemas.openxmlformats.org/officeDocument/2006/customXml" ds:itemID="{8432BA96-9E6D-4743-B7A6-89C6F6AD3E0E}">
  <ds:schemaRefs>
    <ds:schemaRef ds:uri="http://schemas.microsoft.com/sharepoint/events"/>
  </ds:schemaRefs>
</ds:datastoreItem>
</file>

<file path=customXml/itemProps4.xml><?xml version="1.0" encoding="utf-8"?>
<ds:datastoreItem xmlns:ds="http://schemas.openxmlformats.org/officeDocument/2006/customXml" ds:itemID="{D30A7949-1284-49AB-B693-9345B756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 letter with logo.dotx</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PASQUALOTTO lesley</dc:creator>
  <cp:lastModifiedBy>DONOHOE hillary</cp:lastModifiedBy>
  <cp:revision>2</cp:revision>
  <cp:lastPrinted>2009-09-21T09:42:00Z</cp:lastPrinted>
  <dcterms:created xsi:type="dcterms:W3CDTF">2021-05-28T14:22:00Z</dcterms:created>
  <dcterms:modified xsi:type="dcterms:W3CDTF">2021-05-28T14:22:00Z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7b408016-743c-410c-baa0-56cad7ccb13b</vt:lpwstr>
  </property>
</Properties>
</file>