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00536" w14:textId="77777777" w:rsidR="00CA04D2" w:rsidRPr="00F04BDB" w:rsidRDefault="007C269C" w:rsidP="00F04BDB">
      <w:pPr>
        <w:spacing w:line="240" w:lineRule="atLeast"/>
        <w:rPr>
          <w:rFonts w:asciiTheme="minorBidi" w:hAnsiTheme="minorBidi"/>
          <w:sz w:val="20"/>
          <w:szCs w:val="20"/>
          <w:u w:val="single"/>
        </w:rPr>
      </w:pPr>
      <w:bookmarkStart w:id="0" w:name="_GoBack"/>
      <w:bookmarkEnd w:id="0"/>
      <w:r w:rsidRPr="00F04BDB">
        <w:rPr>
          <w:rFonts w:asciiTheme="minorBidi" w:hAnsiTheme="minorBidi"/>
          <w:sz w:val="20"/>
          <w:szCs w:val="20"/>
          <w:u w:val="single"/>
        </w:rPr>
        <w:t>Participation à distance</w:t>
      </w:r>
    </w:p>
    <w:p w14:paraId="13E4C070" w14:textId="77777777" w:rsidR="007C269C" w:rsidRPr="00F04BDB" w:rsidRDefault="007C269C" w:rsidP="00F04BDB">
      <w:pPr>
        <w:spacing w:line="240" w:lineRule="atLeast"/>
        <w:rPr>
          <w:rFonts w:asciiTheme="minorBidi" w:hAnsiTheme="minorBidi"/>
          <w:sz w:val="20"/>
          <w:szCs w:val="20"/>
        </w:rPr>
      </w:pPr>
    </w:p>
    <w:p w14:paraId="49B737AB" w14:textId="77777777" w:rsidR="007C269C" w:rsidRPr="00F04BDB" w:rsidRDefault="007C269C" w:rsidP="00F04BDB">
      <w:pPr>
        <w:spacing w:line="240" w:lineRule="atLeast"/>
        <w:rPr>
          <w:rFonts w:asciiTheme="minorBidi" w:hAnsiTheme="minorBidi"/>
          <w:sz w:val="20"/>
          <w:szCs w:val="20"/>
        </w:rPr>
      </w:pPr>
      <w:r w:rsidRPr="00F04BDB">
        <w:rPr>
          <w:rFonts w:asciiTheme="minorBidi" w:hAnsiTheme="minorBidi"/>
          <w:sz w:val="20"/>
          <w:szCs w:val="20"/>
        </w:rPr>
        <w:t>Le Congrès de l’UPU a approuvé par acclamation une proposition de compromis permettant aux membres dans l’incapacité de se rendre à Abidjan de participer aux délibérations et</w:t>
      </w:r>
      <w:r w:rsidR="001C42E2" w:rsidRPr="00F04BDB">
        <w:rPr>
          <w:rFonts w:asciiTheme="minorBidi" w:hAnsiTheme="minorBidi"/>
          <w:sz w:val="20"/>
          <w:szCs w:val="20"/>
        </w:rPr>
        <w:t xml:space="preserve"> de prendre part</w:t>
      </w:r>
      <w:r w:rsidRPr="00F04BDB">
        <w:rPr>
          <w:rFonts w:asciiTheme="minorBidi" w:hAnsiTheme="minorBidi"/>
          <w:sz w:val="20"/>
          <w:szCs w:val="20"/>
        </w:rPr>
        <w:t xml:space="preserve"> au vote électronique. </w:t>
      </w:r>
    </w:p>
    <w:p w14:paraId="14DF70B1" w14:textId="77777777" w:rsidR="006251E9" w:rsidRPr="00F04BDB" w:rsidRDefault="006251E9" w:rsidP="00F04BDB">
      <w:pPr>
        <w:spacing w:line="240" w:lineRule="atLeast"/>
        <w:rPr>
          <w:rFonts w:asciiTheme="minorBidi" w:hAnsiTheme="minorBidi"/>
          <w:sz w:val="20"/>
          <w:szCs w:val="20"/>
        </w:rPr>
      </w:pPr>
      <w:r w:rsidRPr="00F04BDB">
        <w:rPr>
          <w:rFonts w:asciiTheme="minorBidi" w:hAnsiTheme="minorBidi"/>
          <w:sz w:val="20"/>
          <w:szCs w:val="20"/>
        </w:rPr>
        <w:t xml:space="preserve">Toutefois, la possibilité de participer à distance mentionnée ci-dessus ne s’applique pas dans le cas de </w:t>
      </w:r>
    </w:p>
    <w:p w14:paraId="5AF2FA69" w14:textId="77777777" w:rsidR="006251E9" w:rsidRPr="00F04BDB" w:rsidRDefault="006251E9" w:rsidP="00F04BDB">
      <w:pPr>
        <w:pStyle w:val="ListParagraph"/>
        <w:numPr>
          <w:ilvl w:val="0"/>
          <w:numId w:val="1"/>
        </w:numPr>
        <w:spacing w:line="240" w:lineRule="atLeast"/>
        <w:rPr>
          <w:rFonts w:asciiTheme="minorBidi" w:hAnsiTheme="minorBidi"/>
          <w:sz w:val="20"/>
          <w:szCs w:val="20"/>
        </w:rPr>
      </w:pPr>
      <w:proofErr w:type="gramStart"/>
      <w:r w:rsidRPr="00F04BDB">
        <w:rPr>
          <w:rFonts w:asciiTheme="minorBidi" w:hAnsiTheme="minorBidi"/>
          <w:sz w:val="20"/>
          <w:szCs w:val="20"/>
        </w:rPr>
        <w:t>tout</w:t>
      </w:r>
      <w:proofErr w:type="gramEnd"/>
      <w:r w:rsidRPr="00F04BDB">
        <w:rPr>
          <w:rFonts w:asciiTheme="minorBidi" w:hAnsiTheme="minorBidi"/>
          <w:sz w:val="20"/>
          <w:szCs w:val="20"/>
        </w:rPr>
        <w:t xml:space="preserve"> scrutin secret, ou </w:t>
      </w:r>
      <w:r w:rsidR="00322E39" w:rsidRPr="00F04BDB">
        <w:rPr>
          <w:rFonts w:asciiTheme="minorBidi" w:hAnsiTheme="minorBidi"/>
          <w:sz w:val="20"/>
          <w:szCs w:val="20"/>
        </w:rPr>
        <w:t>de</w:t>
      </w:r>
    </w:p>
    <w:p w14:paraId="367D6C41" w14:textId="77777777" w:rsidR="006251E9" w:rsidRPr="00F04BDB" w:rsidRDefault="006251E9" w:rsidP="00F04BDB">
      <w:pPr>
        <w:pStyle w:val="ListParagraph"/>
        <w:numPr>
          <w:ilvl w:val="0"/>
          <w:numId w:val="1"/>
        </w:numPr>
        <w:spacing w:line="240" w:lineRule="atLeast"/>
        <w:rPr>
          <w:rFonts w:asciiTheme="minorBidi" w:hAnsiTheme="minorBidi"/>
          <w:sz w:val="20"/>
          <w:szCs w:val="20"/>
        </w:rPr>
      </w:pPr>
      <w:proofErr w:type="gramStart"/>
      <w:r w:rsidRPr="00F04BDB">
        <w:rPr>
          <w:rFonts w:asciiTheme="minorBidi" w:hAnsiTheme="minorBidi"/>
          <w:sz w:val="20"/>
          <w:szCs w:val="20"/>
        </w:rPr>
        <w:t>tout</w:t>
      </w:r>
      <w:proofErr w:type="gramEnd"/>
      <w:r w:rsidRPr="00F04BDB">
        <w:rPr>
          <w:rFonts w:asciiTheme="minorBidi" w:hAnsiTheme="minorBidi"/>
          <w:sz w:val="20"/>
          <w:szCs w:val="20"/>
        </w:rPr>
        <w:t xml:space="preserve"> vote non secret tenu selon le système traditionnel,</w:t>
      </w:r>
    </w:p>
    <w:p w14:paraId="04AED8DA" w14:textId="766AFB32" w:rsidR="007C269C" w:rsidRPr="00F04BDB" w:rsidRDefault="006251E9" w:rsidP="00F04BDB">
      <w:pPr>
        <w:spacing w:line="240" w:lineRule="atLeast"/>
        <w:ind w:left="50"/>
        <w:rPr>
          <w:rFonts w:asciiTheme="minorBidi" w:hAnsiTheme="minorBidi"/>
          <w:sz w:val="20"/>
          <w:szCs w:val="20"/>
        </w:rPr>
      </w:pPr>
      <w:proofErr w:type="gramStart"/>
      <w:r w:rsidRPr="00F04BDB">
        <w:rPr>
          <w:rFonts w:asciiTheme="minorBidi" w:hAnsiTheme="minorBidi"/>
          <w:sz w:val="20"/>
          <w:szCs w:val="20"/>
        </w:rPr>
        <w:t>auquel</w:t>
      </w:r>
      <w:proofErr w:type="gramEnd"/>
      <w:r w:rsidRPr="00F04BDB">
        <w:rPr>
          <w:rFonts w:asciiTheme="minorBidi" w:hAnsiTheme="minorBidi"/>
          <w:sz w:val="20"/>
          <w:szCs w:val="20"/>
        </w:rPr>
        <w:t xml:space="preserve"> cas les Pays-membres de l’Union profitant de la possibilité susmentionnée ne sont pas pris en co</w:t>
      </w:r>
      <w:r w:rsidR="00F04BDB">
        <w:rPr>
          <w:rFonts w:asciiTheme="minorBidi" w:hAnsiTheme="minorBidi"/>
          <w:sz w:val="20"/>
          <w:szCs w:val="20"/>
        </w:rPr>
        <w:t>nsidération</w:t>
      </w:r>
      <w:r w:rsidRPr="00F04BDB">
        <w:rPr>
          <w:rFonts w:asciiTheme="minorBidi" w:hAnsiTheme="minorBidi"/>
          <w:sz w:val="20"/>
          <w:szCs w:val="20"/>
        </w:rPr>
        <w:t xml:space="preserve"> aux fins de l’article 17 du Règlement intérieur des Congrès et n’ont pas le droit de voter ni de donner des avis de représentation à d’autres Pays-membres de l’Union.</w:t>
      </w:r>
    </w:p>
    <w:p w14:paraId="42C1D180" w14:textId="77777777" w:rsidR="006251E9" w:rsidRPr="00F04BDB" w:rsidRDefault="006251E9" w:rsidP="00F04BDB">
      <w:pPr>
        <w:spacing w:line="240" w:lineRule="atLeast"/>
        <w:ind w:left="50"/>
        <w:rPr>
          <w:rFonts w:asciiTheme="minorBidi" w:hAnsiTheme="minorBidi"/>
          <w:sz w:val="20"/>
          <w:szCs w:val="20"/>
        </w:rPr>
      </w:pPr>
    </w:p>
    <w:p w14:paraId="208EFF15" w14:textId="74C30CF6" w:rsidR="006251E9" w:rsidRPr="00F04BDB" w:rsidRDefault="006251E9" w:rsidP="00F04BDB">
      <w:pPr>
        <w:spacing w:line="240" w:lineRule="atLeast"/>
        <w:ind w:left="50"/>
        <w:rPr>
          <w:rFonts w:asciiTheme="minorBidi" w:hAnsiTheme="minorBidi"/>
          <w:sz w:val="20"/>
          <w:szCs w:val="20"/>
        </w:rPr>
      </w:pPr>
      <w:r w:rsidRPr="00F04BDB">
        <w:rPr>
          <w:rFonts w:asciiTheme="minorBidi" w:hAnsiTheme="minorBidi"/>
          <w:sz w:val="20"/>
          <w:szCs w:val="20"/>
        </w:rPr>
        <w:t xml:space="preserve">Ces procédures entrent en vigueur </w:t>
      </w:r>
      <w:r w:rsidR="00F04BDB">
        <w:rPr>
          <w:rFonts w:asciiTheme="minorBidi" w:hAnsiTheme="minorBidi"/>
          <w:sz w:val="20"/>
          <w:szCs w:val="20"/>
        </w:rPr>
        <w:t>au</w:t>
      </w:r>
      <w:r w:rsidRPr="00F04BDB">
        <w:rPr>
          <w:rFonts w:asciiTheme="minorBidi" w:hAnsiTheme="minorBidi"/>
          <w:sz w:val="20"/>
          <w:szCs w:val="20"/>
        </w:rPr>
        <w:t xml:space="preserve"> 13 août 2021 et le restent </w:t>
      </w:r>
      <w:r w:rsidR="00D175D5" w:rsidRPr="00F04BDB">
        <w:rPr>
          <w:rFonts w:asciiTheme="minorBidi" w:hAnsiTheme="minorBidi"/>
          <w:sz w:val="20"/>
          <w:szCs w:val="20"/>
        </w:rPr>
        <w:t>uniquement</w:t>
      </w:r>
      <w:r w:rsidRPr="00F04BDB">
        <w:rPr>
          <w:rFonts w:asciiTheme="minorBidi" w:hAnsiTheme="minorBidi"/>
          <w:sz w:val="20"/>
          <w:szCs w:val="20"/>
        </w:rPr>
        <w:t xml:space="preserve"> pour la durée du 27</w:t>
      </w:r>
      <w:r w:rsidRPr="00F04BDB">
        <w:rPr>
          <w:rFonts w:asciiTheme="minorBidi" w:hAnsiTheme="minorBidi"/>
          <w:sz w:val="20"/>
          <w:szCs w:val="20"/>
          <w:vertAlign w:val="superscript"/>
        </w:rPr>
        <w:t>e</w:t>
      </w:r>
      <w:r w:rsidRPr="00F04BDB">
        <w:rPr>
          <w:rFonts w:asciiTheme="minorBidi" w:hAnsiTheme="minorBidi"/>
          <w:sz w:val="20"/>
          <w:szCs w:val="20"/>
        </w:rPr>
        <w:t xml:space="preserve"> Congrès, et sont abrogées immédiatement après.</w:t>
      </w:r>
    </w:p>
    <w:p w14:paraId="28DC8B77" w14:textId="77777777" w:rsidR="006251E9" w:rsidRPr="00F04BDB" w:rsidRDefault="006251E9" w:rsidP="00F04BDB">
      <w:pPr>
        <w:spacing w:line="240" w:lineRule="atLeast"/>
        <w:ind w:left="50"/>
        <w:rPr>
          <w:rFonts w:asciiTheme="minorBidi" w:hAnsiTheme="minorBidi"/>
          <w:sz w:val="20"/>
          <w:szCs w:val="20"/>
        </w:rPr>
      </w:pPr>
    </w:p>
    <w:p w14:paraId="2FDF2EF8" w14:textId="3C2160F0" w:rsidR="006251E9" w:rsidRPr="00F04BDB" w:rsidRDefault="006251E9" w:rsidP="00F04BDB">
      <w:pPr>
        <w:spacing w:line="240" w:lineRule="atLeast"/>
        <w:ind w:left="50"/>
        <w:rPr>
          <w:rFonts w:asciiTheme="minorBidi" w:hAnsiTheme="minorBidi"/>
          <w:sz w:val="20"/>
          <w:szCs w:val="20"/>
        </w:rPr>
      </w:pPr>
      <w:r w:rsidRPr="00F04BDB">
        <w:rPr>
          <w:rFonts w:asciiTheme="minorBidi" w:hAnsiTheme="minorBidi"/>
          <w:sz w:val="20"/>
          <w:szCs w:val="20"/>
        </w:rPr>
        <w:t>La proposition d’ajout de l</w:t>
      </w:r>
      <w:r w:rsidR="00F04BDB">
        <w:rPr>
          <w:rFonts w:asciiTheme="minorBidi" w:hAnsiTheme="minorBidi"/>
          <w:sz w:val="20"/>
          <w:szCs w:val="20"/>
        </w:rPr>
        <w:t>’</w:t>
      </w:r>
      <w:r w:rsidRPr="00F04BDB">
        <w:rPr>
          <w:rFonts w:asciiTheme="minorBidi" w:hAnsiTheme="minorBidi"/>
          <w:sz w:val="20"/>
          <w:szCs w:val="20"/>
        </w:rPr>
        <w:t>article 1bis vise à apporter plus de clarté sur certains termes employés afin d’inclure la possibilité de la participation à distance tout en limitant cette possibilité au scrutin public effectué via le système électronique.</w:t>
      </w:r>
    </w:p>
    <w:p w14:paraId="15CDF9B3" w14:textId="502CA01D" w:rsidR="006251E9" w:rsidRPr="00F04BDB" w:rsidRDefault="006251E9" w:rsidP="00F04BDB">
      <w:pPr>
        <w:spacing w:line="240" w:lineRule="atLeast"/>
        <w:ind w:left="50"/>
        <w:rPr>
          <w:rFonts w:asciiTheme="minorBidi" w:hAnsiTheme="minorBidi"/>
          <w:sz w:val="20"/>
          <w:szCs w:val="20"/>
        </w:rPr>
      </w:pPr>
      <w:r w:rsidRPr="00F04BDB">
        <w:rPr>
          <w:rFonts w:asciiTheme="minorBidi" w:hAnsiTheme="minorBidi"/>
          <w:sz w:val="20"/>
          <w:szCs w:val="20"/>
        </w:rPr>
        <w:t>Le caractère physique du Congrès est ainsi préservé, puisque tous les scrutins secrets, y compris les élections, nécessiteront une représentation en personne et ne permettront pas d’accepter des avis de représentation de la part des Pays-membres participant à distance.</w:t>
      </w:r>
    </w:p>
    <w:sectPr w:rsidR="006251E9" w:rsidRPr="00F0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511"/>
    <w:multiLevelType w:val="hybridMultilevel"/>
    <w:tmpl w:val="F30A86CA"/>
    <w:lvl w:ilvl="0" w:tplc="04090011">
      <w:start w:val="1"/>
      <w:numFmt w:val="decimal"/>
      <w:lvlText w:val="%1)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9C"/>
    <w:rsid w:val="001C42E2"/>
    <w:rsid w:val="00322E39"/>
    <w:rsid w:val="00330498"/>
    <w:rsid w:val="00391CDB"/>
    <w:rsid w:val="006251E9"/>
    <w:rsid w:val="007C269C"/>
    <w:rsid w:val="009729C1"/>
    <w:rsid w:val="00B318D1"/>
    <w:rsid w:val="00CA04D2"/>
    <w:rsid w:val="00D175D5"/>
    <w:rsid w:val="00D65FE2"/>
    <w:rsid w:val="00F0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0F76"/>
  <w15:chartTrackingRefBased/>
  <w15:docId w15:val="{42D7A655-19F4-4349-BF9C-C9EBA8BA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PEGASE-7-1002755</_dlc_DocId>
    <_dlc_DocIdUrl xmlns="b4ec4095-9810-4e60-b964-3161185fe897">
      <Url>https://pegase.upu.int/_layouts/DocIdRedir.aspx?ID=PEGASE-7-1002755</Url>
      <Description>PEGASE-7-1002755</Description>
    </_dlc_DocIdUrl>
  </documentManagement>
</p:properties>
</file>

<file path=customXml/itemProps1.xml><?xml version="1.0" encoding="utf-8"?>
<ds:datastoreItem xmlns:ds="http://schemas.openxmlformats.org/officeDocument/2006/customXml" ds:itemID="{93DE5797-C626-40DA-BEB8-39EB02FE0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01401-F76F-4DCE-818F-DD66A08E28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566A49-484E-4539-9B07-3626B66C9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3FF3A-C652-4387-9BAC-A31E23EC73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ec4095-9810-4e60-b964-3161185fe8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susan</dc:creator>
  <cp:keywords/>
  <dc:description/>
  <cp:lastModifiedBy>DONOHOE hillary</cp:lastModifiedBy>
  <cp:revision>2</cp:revision>
  <cp:lastPrinted>2021-08-12T14:55:00Z</cp:lastPrinted>
  <dcterms:created xsi:type="dcterms:W3CDTF">2021-08-12T16:53:00Z</dcterms:created>
  <dcterms:modified xsi:type="dcterms:W3CDTF">2021-08-12T16:53:00Z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0dc92a30-e82b-40a7-ae4b-761f9877f677</vt:lpwstr>
  </property>
</Properties>
</file>