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B220" w14:textId="77777777" w:rsidR="000C02B8" w:rsidRPr="00E37B90" w:rsidRDefault="000C02B8" w:rsidP="00B71628">
      <w:pPr>
        <w:spacing w:line="240" w:lineRule="auto"/>
        <w:rPr>
          <w:rFonts w:cs="Arial"/>
          <w:b/>
          <w:bCs/>
          <w:lang w:val="fr-CH"/>
        </w:rPr>
      </w:pPr>
      <w:bookmarkStart w:id="0" w:name="_GoBack"/>
      <w:bookmarkEnd w:id="0"/>
    </w:p>
    <w:p w14:paraId="582B30BE" w14:textId="77777777" w:rsidR="00800323" w:rsidRPr="00D32E67" w:rsidRDefault="00800323" w:rsidP="00B71628">
      <w:pPr>
        <w:jc w:val="both"/>
        <w:rPr>
          <w:rFonts w:cs="Arial"/>
          <w:b/>
          <w:bCs/>
          <w:lang w:val="fr-CH"/>
        </w:rPr>
      </w:pPr>
      <w:r w:rsidRPr="00D32E67">
        <w:rPr>
          <w:rFonts w:cs="Arial"/>
          <w:b/>
          <w:bCs/>
          <w:lang w:val="fr-CH"/>
        </w:rPr>
        <w:t xml:space="preserve">Catégorie/champs d’application </w:t>
      </w:r>
      <w:r w:rsidR="003A59BA" w:rsidRPr="00D32E67">
        <w:rPr>
          <w:rFonts w:cs="Arial"/>
          <w:b/>
          <w:bCs/>
          <w:lang w:val="fr-CH"/>
        </w:rPr>
        <w:t>du mécanisme de l’UPU d’assistance technique pour l’inclusion financière</w:t>
      </w:r>
    </w:p>
    <w:p w14:paraId="0BF9CEEE" w14:textId="77777777" w:rsidR="00800323" w:rsidRPr="00E37B90" w:rsidRDefault="00800323" w:rsidP="00B71628">
      <w:pPr>
        <w:spacing w:line="240" w:lineRule="auto"/>
        <w:rPr>
          <w:rFonts w:cs="Arial"/>
          <w:b/>
          <w:bCs/>
          <w:u w:val="single"/>
          <w:lang w:val="fr-CH"/>
        </w:rPr>
      </w:pPr>
    </w:p>
    <w:p w14:paraId="09843524" w14:textId="4B90B87D" w:rsidR="00800323" w:rsidRPr="00E37B90" w:rsidRDefault="00B71628" w:rsidP="001B1F10">
      <w:pPr>
        <w:ind w:left="567" w:hanging="567"/>
        <w:jc w:val="both"/>
        <w:rPr>
          <w:rFonts w:cs="Arial"/>
          <w:b/>
          <w:bCs/>
          <w:lang w:val="fr-CH"/>
        </w:rPr>
      </w:pPr>
      <w:r w:rsidRPr="00E37B90">
        <w:rPr>
          <w:rFonts w:cs="Arial"/>
          <w:b/>
          <w:bCs/>
          <w:lang w:val="fr-CH"/>
        </w:rPr>
        <w:t>1.</w:t>
      </w:r>
      <w:r w:rsidR="003A59BA" w:rsidRPr="00E37B90">
        <w:rPr>
          <w:rFonts w:cs="Arial"/>
          <w:b/>
          <w:bCs/>
          <w:lang w:val="fr-CH"/>
        </w:rPr>
        <w:tab/>
      </w:r>
      <w:r w:rsidR="001B1F10" w:rsidRPr="00E37B90">
        <w:rPr>
          <w:rFonts w:cs="Arial"/>
          <w:b/>
          <w:bCs/>
          <w:lang w:val="fr-CH"/>
        </w:rPr>
        <w:t>Évaluation/stratégie de services financiers numériques</w:t>
      </w:r>
    </w:p>
    <w:p w14:paraId="2FF74DCB" w14:textId="77777777" w:rsidR="00800323" w:rsidRPr="00E37B90" w:rsidRDefault="00800323" w:rsidP="00B71628">
      <w:pPr>
        <w:spacing w:line="240" w:lineRule="auto"/>
        <w:jc w:val="both"/>
        <w:rPr>
          <w:rFonts w:cs="Arial"/>
          <w:lang w:val="fr-CH"/>
        </w:rPr>
      </w:pPr>
    </w:p>
    <w:p w14:paraId="3D702290" w14:textId="219985B2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a)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Comprendre les opportunités et investissements nécessaires pour se lancer dans la finance numérique</w:t>
      </w:r>
      <w:r w:rsidR="003A59BA" w:rsidRPr="00D32E67">
        <w:rPr>
          <w:rFonts w:cs="Arial"/>
          <w:lang w:val="fr-CH"/>
        </w:rPr>
        <w:t>.</w:t>
      </w:r>
    </w:p>
    <w:p w14:paraId="4FF6A50A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11EAC289" w14:textId="467C09EE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b)</w:t>
      </w:r>
      <w:r w:rsidR="003A59BA"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Analyse institutionnelle et opérationnelle:</w:t>
      </w:r>
    </w:p>
    <w:p w14:paraId="7635BB89" w14:textId="0C10746D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Gestion, modèles de partenariat</w:t>
      </w:r>
      <w:r w:rsidR="003A59BA" w:rsidRPr="00D32E67">
        <w:rPr>
          <w:rFonts w:cs="Arial"/>
          <w:lang w:val="fr-CH"/>
        </w:rPr>
        <w:t>.</w:t>
      </w:r>
    </w:p>
    <w:p w14:paraId="066878B3" w14:textId="6E0E08BF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Analyse des opérations de la poste pour identifier les opportunités concrètes et le</w:t>
      </w:r>
      <w:r w:rsidR="003A59BA" w:rsidRPr="00D32E67">
        <w:rPr>
          <w:rFonts w:cs="Arial"/>
          <w:lang w:val="fr-CH"/>
        </w:rPr>
        <w:t>s avantages de la numérisation.</w:t>
      </w:r>
    </w:p>
    <w:p w14:paraId="70EB1D4D" w14:textId="5FB22CAD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3A59BA" w:rsidRPr="00D32E67">
        <w:rPr>
          <w:rFonts w:cs="Arial"/>
          <w:lang w:val="fr-CH"/>
        </w:rPr>
        <w:t>E</w:t>
      </w:r>
      <w:r w:rsidR="00800323" w:rsidRPr="00D32E67">
        <w:rPr>
          <w:rFonts w:cs="Arial"/>
          <w:lang w:val="fr-CH"/>
        </w:rPr>
        <w:t xml:space="preserve">xamen des procédures opérationnelles pour s’adapter au </w:t>
      </w:r>
      <w:r w:rsidR="003A59BA" w:rsidRPr="00D32E67">
        <w:rPr>
          <w:rFonts w:cs="Arial"/>
          <w:lang w:val="fr-CH"/>
        </w:rPr>
        <w:t>nouvel environnement numérique.</w:t>
      </w:r>
    </w:p>
    <w:p w14:paraId="06D00E9C" w14:textId="008D8DA0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Rédaction des spécifications et des modèles de par</w:t>
      </w:r>
      <w:r w:rsidR="00937123">
        <w:rPr>
          <w:rFonts w:cs="Arial"/>
          <w:lang w:val="fr-CH"/>
        </w:rPr>
        <w:t xml:space="preserve"> </w:t>
      </w:r>
      <w:r w:rsidR="00800323" w:rsidRPr="00D32E67">
        <w:rPr>
          <w:rFonts w:cs="Arial"/>
          <w:lang w:val="fr-CH"/>
        </w:rPr>
        <w:t>tenariat</w:t>
      </w:r>
      <w:r w:rsidR="003A59BA" w:rsidRPr="00D32E67">
        <w:rPr>
          <w:rFonts w:cs="Arial"/>
          <w:lang w:val="fr-CH"/>
        </w:rPr>
        <w:t>.</w:t>
      </w:r>
    </w:p>
    <w:p w14:paraId="76CD1F0E" w14:textId="46D21539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Aider à l’identification d’un fournisseur de finance numérique</w:t>
      </w:r>
      <w:r w:rsidR="003A59BA" w:rsidRPr="00D32E67">
        <w:rPr>
          <w:rFonts w:cs="Arial"/>
          <w:lang w:val="fr-CH"/>
        </w:rPr>
        <w:t>.</w:t>
      </w:r>
    </w:p>
    <w:p w14:paraId="04AD7B0C" w14:textId="17398E75" w:rsidR="00800323" w:rsidRPr="00E37B90" w:rsidRDefault="00800323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161AE384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0E562014" w14:textId="19964864" w:rsidR="00800323" w:rsidRPr="00E37B90" w:rsidRDefault="003A59BA" w:rsidP="00B71628">
      <w:pPr>
        <w:jc w:val="both"/>
        <w:rPr>
          <w:rFonts w:cs="Arial"/>
          <w:b/>
          <w:bCs/>
          <w:lang w:val="fr-CH"/>
        </w:rPr>
      </w:pPr>
      <w:r w:rsidRPr="00E37B90">
        <w:rPr>
          <w:rFonts w:cs="Arial"/>
          <w:b/>
          <w:bCs/>
          <w:lang w:val="fr-CH"/>
        </w:rPr>
        <w:t>2</w:t>
      </w:r>
      <w:r w:rsidR="00B71628" w:rsidRPr="00E37B90">
        <w:rPr>
          <w:rFonts w:cs="Arial"/>
          <w:b/>
          <w:bCs/>
          <w:lang w:val="fr-CH"/>
        </w:rPr>
        <w:t>.</w:t>
      </w:r>
      <w:r w:rsidRPr="00E37B90">
        <w:rPr>
          <w:rFonts w:cs="Arial"/>
          <w:b/>
          <w:bCs/>
          <w:lang w:val="fr-CH"/>
        </w:rPr>
        <w:tab/>
      </w:r>
      <w:r w:rsidR="00800323" w:rsidRPr="00E37B90">
        <w:rPr>
          <w:rFonts w:cs="Arial"/>
          <w:b/>
          <w:bCs/>
          <w:lang w:val="fr-CH"/>
        </w:rPr>
        <w:t>Offre de services financiers numériques (agent, partenariat ou propres services)</w:t>
      </w:r>
    </w:p>
    <w:p w14:paraId="191952E5" w14:textId="77777777" w:rsidR="00800323" w:rsidRPr="00E37B90" w:rsidRDefault="00800323" w:rsidP="00B71628">
      <w:pPr>
        <w:spacing w:line="240" w:lineRule="auto"/>
        <w:jc w:val="both"/>
        <w:rPr>
          <w:rFonts w:cs="Arial"/>
          <w:lang w:val="fr-CH"/>
        </w:rPr>
      </w:pPr>
    </w:p>
    <w:p w14:paraId="3D82E9CB" w14:textId="4C99A780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a)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Aide à la sélection d’un ou</w:t>
      </w:r>
      <w:r w:rsidR="003A59BA" w:rsidRPr="00D32E67">
        <w:rPr>
          <w:rFonts w:cs="Arial"/>
          <w:lang w:val="fr-CH"/>
        </w:rPr>
        <w:t xml:space="preserve"> de</w:t>
      </w:r>
      <w:r w:rsidR="00800323" w:rsidRPr="00D32E67">
        <w:rPr>
          <w:rFonts w:cs="Arial"/>
          <w:lang w:val="fr-CH"/>
        </w:rPr>
        <w:t xml:space="preserve"> plusieurs prestataires de monnaie électronique</w:t>
      </w:r>
      <w:r w:rsidR="003A59BA" w:rsidRPr="00D32E67">
        <w:rPr>
          <w:rFonts w:cs="Arial"/>
          <w:lang w:val="fr-CH"/>
        </w:rPr>
        <w:t xml:space="preserve"> pour devenir agent</w:t>
      </w:r>
      <w:r w:rsidR="00800323" w:rsidRPr="00D32E67">
        <w:rPr>
          <w:rFonts w:cs="Arial"/>
          <w:lang w:val="fr-CH"/>
        </w:rPr>
        <w:t>:</w:t>
      </w:r>
      <w:r w:rsidRPr="00D32E67">
        <w:rPr>
          <w:rFonts w:cs="Arial"/>
          <w:lang w:val="fr-CH"/>
        </w:rPr>
        <w:t xml:space="preserve"> c</w:t>
      </w:r>
      <w:r w:rsidR="00800323" w:rsidRPr="00D32E67">
        <w:rPr>
          <w:rFonts w:cs="Arial"/>
          <w:lang w:val="fr-CH"/>
        </w:rPr>
        <w:t>onception et établissement d'un réseau d'agents propres et externes (c'est-à-dire d'agents extérieurs au réseau postal).</w:t>
      </w:r>
    </w:p>
    <w:p w14:paraId="57AE5D18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624FDC6C" w14:textId="2B51D3AF" w:rsidR="00DD7242" w:rsidRPr="00D32E67" w:rsidRDefault="00B71628" w:rsidP="00E37B90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b)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 xml:space="preserve">Assistance dans le choix d’un partenaire </w:t>
      </w:r>
      <w:r w:rsidR="00A334D4" w:rsidRPr="00D32E67">
        <w:rPr>
          <w:rFonts w:cs="Arial"/>
          <w:lang w:val="fr-CH"/>
        </w:rPr>
        <w:t>de services financiers numériques</w:t>
      </w:r>
      <w:r w:rsidR="00800323" w:rsidRPr="00D32E67">
        <w:rPr>
          <w:rFonts w:cs="Arial"/>
          <w:lang w:val="fr-CH"/>
        </w:rPr>
        <w:t>:</w:t>
      </w:r>
    </w:p>
    <w:p w14:paraId="2CC8069C" w14:textId="77777777" w:rsidR="00800323" w:rsidRPr="00D32E67" w:rsidRDefault="00DD7242" w:rsidP="00EC7925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  <w:t>C</w:t>
      </w:r>
      <w:r w:rsidR="00800323" w:rsidRPr="00D32E67">
        <w:rPr>
          <w:rFonts w:cs="Arial"/>
          <w:lang w:val="fr-CH"/>
        </w:rPr>
        <w:t>artographie des prestataires</w:t>
      </w:r>
      <w:r w:rsidR="003A59BA" w:rsidRPr="00D32E67">
        <w:rPr>
          <w:rFonts w:cs="Arial"/>
          <w:lang w:val="fr-CH"/>
        </w:rPr>
        <w:t>.</w:t>
      </w:r>
    </w:p>
    <w:p w14:paraId="10B24D51" w14:textId="77777777" w:rsidR="00800323" w:rsidRPr="00D32E67" w:rsidRDefault="003A59BA" w:rsidP="00EC7925">
      <w:p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Assistance à l'intégration des systèmes informatiques de la poste et de son ou ses partenaires.</w:t>
      </w:r>
    </w:p>
    <w:p w14:paraId="234CCA36" w14:textId="77777777" w:rsidR="00800323" w:rsidRPr="00D32E67" w:rsidRDefault="003A59BA" w:rsidP="00EC7925">
      <w:p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Conception d'un portefeuille de produits et de services communs.</w:t>
      </w:r>
    </w:p>
    <w:p w14:paraId="53F62C6B" w14:textId="7DE2A5BB" w:rsidR="00800323" w:rsidRPr="00E37B90" w:rsidRDefault="00800323" w:rsidP="00B71628">
      <w:pPr>
        <w:spacing w:line="240" w:lineRule="auto"/>
        <w:rPr>
          <w:rFonts w:cs="Arial"/>
          <w:lang w:val="fr-CH"/>
        </w:rPr>
      </w:pPr>
    </w:p>
    <w:p w14:paraId="2612E48E" w14:textId="31DA7589" w:rsidR="00800323" w:rsidRPr="00D32E67" w:rsidRDefault="00B71628" w:rsidP="00E37B90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c)</w:t>
      </w:r>
      <w:r w:rsidR="003A59BA"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Assistance pour lancer ses propres services de finance numérique</w:t>
      </w:r>
      <w:r w:rsidR="00204D3F" w:rsidRPr="00D32E67">
        <w:rPr>
          <w:rFonts w:cs="Arial"/>
          <w:lang w:val="fr-CH"/>
        </w:rPr>
        <w:t>:</w:t>
      </w:r>
    </w:p>
    <w:p w14:paraId="3DD6F3B4" w14:textId="562D6146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Examen des besoins techniques, ressources humaines et financières</w:t>
      </w:r>
      <w:r w:rsidR="00204D3F" w:rsidRPr="00D32E67">
        <w:rPr>
          <w:rFonts w:cs="Arial"/>
          <w:lang w:val="fr-CH"/>
        </w:rPr>
        <w:t>.</w:t>
      </w:r>
    </w:p>
    <w:p w14:paraId="6BCC34F8" w14:textId="73F8FE61" w:rsidR="00800323" w:rsidRPr="00D32E67" w:rsidRDefault="00B71628" w:rsidP="00B71628">
      <w:pPr>
        <w:pStyle w:val="1Premierretrait"/>
        <w:numPr>
          <w:ilvl w:val="0"/>
          <w:numId w:val="0"/>
        </w:numPr>
        <w:spacing w:before="90"/>
        <w:ind w:left="1134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–</w:t>
      </w:r>
      <w:r w:rsidRPr="00D32E67">
        <w:rPr>
          <w:rFonts w:cs="Arial"/>
          <w:lang w:val="fr-CH"/>
        </w:rPr>
        <w:tab/>
      </w:r>
      <w:r w:rsidR="00204D3F" w:rsidRPr="00D32E67">
        <w:rPr>
          <w:rFonts w:cs="Arial"/>
          <w:lang w:val="fr-CH"/>
        </w:rPr>
        <w:t>É</w:t>
      </w:r>
      <w:r w:rsidR="00800323" w:rsidRPr="00D32E67">
        <w:rPr>
          <w:rFonts w:cs="Arial"/>
          <w:lang w:val="fr-CH"/>
        </w:rPr>
        <w:t>tude de marché</w:t>
      </w:r>
      <w:r w:rsidR="00204D3F" w:rsidRPr="00D32E67">
        <w:rPr>
          <w:rFonts w:cs="Arial"/>
          <w:lang w:val="fr-CH"/>
        </w:rPr>
        <w:t>.</w:t>
      </w:r>
    </w:p>
    <w:p w14:paraId="1418FA38" w14:textId="12C2432A" w:rsidR="00800323" w:rsidRPr="00E37B90" w:rsidRDefault="00800323" w:rsidP="00B71628">
      <w:pPr>
        <w:pStyle w:val="1Premierretrait"/>
        <w:numPr>
          <w:ilvl w:val="0"/>
          <w:numId w:val="0"/>
        </w:numPr>
        <w:spacing w:before="0" w:line="240" w:lineRule="auto"/>
        <w:ind w:left="1440"/>
        <w:rPr>
          <w:rFonts w:cs="Arial"/>
          <w:lang w:val="fr-CH"/>
        </w:rPr>
      </w:pPr>
    </w:p>
    <w:p w14:paraId="41976911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1440"/>
        <w:rPr>
          <w:rFonts w:cs="Arial"/>
          <w:lang w:val="fr-CH"/>
        </w:rPr>
      </w:pPr>
    </w:p>
    <w:p w14:paraId="1D43EE05" w14:textId="42DA2F80" w:rsidR="00800323" w:rsidRPr="00E37B90" w:rsidRDefault="003A59BA" w:rsidP="003A59BA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b/>
          <w:bCs/>
          <w:lang w:val="fr-CH"/>
        </w:rPr>
      </w:pPr>
      <w:r w:rsidRPr="00E37B90">
        <w:rPr>
          <w:rFonts w:cs="Arial"/>
          <w:b/>
          <w:bCs/>
          <w:lang w:val="fr-CH"/>
        </w:rPr>
        <w:t>3</w:t>
      </w:r>
      <w:r w:rsidR="00B71628" w:rsidRPr="00E37B90">
        <w:rPr>
          <w:rFonts w:cs="Arial"/>
          <w:b/>
          <w:bCs/>
          <w:lang w:val="fr-CH"/>
        </w:rPr>
        <w:t>.</w:t>
      </w:r>
      <w:r w:rsidRPr="00E37B90">
        <w:rPr>
          <w:rFonts w:cs="Arial"/>
          <w:b/>
          <w:bCs/>
          <w:lang w:val="fr-CH"/>
        </w:rPr>
        <w:tab/>
      </w:r>
      <w:r w:rsidR="00800323" w:rsidRPr="00E37B90">
        <w:rPr>
          <w:rFonts w:cs="Arial"/>
          <w:b/>
          <w:bCs/>
          <w:lang w:val="fr-CH"/>
        </w:rPr>
        <w:t>Amélioration ou diversification des services financiers numériques en place</w:t>
      </w:r>
    </w:p>
    <w:p w14:paraId="520EE7B8" w14:textId="77777777" w:rsidR="00800323" w:rsidRPr="00D32E67" w:rsidRDefault="00800323" w:rsidP="00B71628">
      <w:pPr>
        <w:spacing w:line="240" w:lineRule="auto"/>
        <w:jc w:val="both"/>
        <w:rPr>
          <w:rFonts w:cs="Arial"/>
          <w:sz w:val="18"/>
          <w:szCs w:val="18"/>
          <w:lang w:val="fr-CH"/>
        </w:rPr>
      </w:pPr>
    </w:p>
    <w:p w14:paraId="20DC56A3" w14:textId="7576BE59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a)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Analyse des défauts et faiblesses des services financiers numériques existants et identification des opportunités.</w:t>
      </w:r>
    </w:p>
    <w:p w14:paraId="67715DE2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3FF4680F" w14:textId="4E8E23BF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b)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Segmentation de la clientèle pour améliorer l'efficacité d'un ou de plusieurs services financiers numé</w:t>
      </w:r>
      <w:r w:rsidR="0036490A" w:rsidRPr="00D32E67">
        <w:rPr>
          <w:rFonts w:cs="Arial"/>
          <w:lang w:val="fr-CH"/>
        </w:rPr>
        <w:softHyphen/>
      </w:r>
      <w:r w:rsidR="00800323" w:rsidRPr="00D32E67">
        <w:rPr>
          <w:rFonts w:cs="Arial"/>
          <w:lang w:val="fr-CH"/>
        </w:rPr>
        <w:t>riques.</w:t>
      </w:r>
    </w:p>
    <w:p w14:paraId="3DFE22AA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1E48CDCF" w14:textId="5984AA26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c)</w:t>
      </w:r>
      <w:r w:rsidRPr="00D32E67">
        <w:rPr>
          <w:rFonts w:cs="Arial"/>
          <w:lang w:val="fr-CH"/>
        </w:rPr>
        <w:tab/>
      </w:r>
      <w:r w:rsidR="00800323" w:rsidRPr="00D32E67">
        <w:rPr>
          <w:rFonts w:cs="Arial"/>
          <w:lang w:val="fr-CH"/>
        </w:rPr>
        <w:t>Assistance pour améliorer la promotion des services financiers numériques de la poste concernée</w:t>
      </w:r>
      <w:r w:rsidR="00204D3F" w:rsidRPr="00D32E67">
        <w:rPr>
          <w:rFonts w:cs="Arial"/>
          <w:lang w:val="fr-CH"/>
        </w:rPr>
        <w:t>.</w:t>
      </w:r>
    </w:p>
    <w:p w14:paraId="51805E34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sz w:val="22"/>
          <w:szCs w:val="22"/>
          <w:lang w:val="fr-CH"/>
        </w:rPr>
      </w:pPr>
    </w:p>
    <w:p w14:paraId="6A0C472D" w14:textId="157E7E7C" w:rsidR="00800323" w:rsidRPr="00D32E67" w:rsidRDefault="00B71628" w:rsidP="00B71628">
      <w:pPr>
        <w:pStyle w:val="1Premierretrait"/>
        <w:numPr>
          <w:ilvl w:val="0"/>
          <w:numId w:val="0"/>
        </w:numPr>
        <w:spacing w:before="0"/>
        <w:ind w:left="567" w:hanging="567"/>
        <w:rPr>
          <w:rFonts w:cs="Arial"/>
          <w:lang w:val="fr-CH"/>
        </w:rPr>
      </w:pPr>
      <w:r w:rsidRPr="00D32E67">
        <w:rPr>
          <w:rFonts w:cs="Arial"/>
          <w:lang w:val="fr-CH"/>
        </w:rPr>
        <w:t>d)</w:t>
      </w:r>
      <w:r w:rsidRPr="00D32E67">
        <w:rPr>
          <w:rFonts w:cs="Arial"/>
          <w:lang w:val="fr-CH"/>
        </w:rPr>
        <w:tab/>
      </w:r>
      <w:r w:rsidR="00204D3F" w:rsidRPr="00D32E67">
        <w:rPr>
          <w:rFonts w:cs="Arial"/>
          <w:lang w:val="fr-CH"/>
        </w:rPr>
        <w:t>É</w:t>
      </w:r>
      <w:r w:rsidR="00800323" w:rsidRPr="00D32E67">
        <w:rPr>
          <w:rFonts w:cs="Arial"/>
          <w:lang w:val="fr-CH"/>
        </w:rPr>
        <w:t>valuation des opportunités, prérequis et implications</w:t>
      </w:r>
      <w:r w:rsidR="00204D3F" w:rsidRPr="00D32E67">
        <w:rPr>
          <w:rFonts w:cs="Arial"/>
          <w:lang w:val="fr-CH"/>
        </w:rPr>
        <w:t>.</w:t>
      </w:r>
    </w:p>
    <w:p w14:paraId="74138666" w14:textId="44AAC808" w:rsidR="00800323" w:rsidRPr="00E37B90" w:rsidRDefault="00800323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66C8BE42" w14:textId="77777777" w:rsidR="00B71628" w:rsidRPr="00E37B90" w:rsidRDefault="00B71628" w:rsidP="00B71628">
      <w:pPr>
        <w:pStyle w:val="1Premierretrait"/>
        <w:numPr>
          <w:ilvl w:val="0"/>
          <w:numId w:val="0"/>
        </w:numPr>
        <w:spacing w:before="0" w:line="240" w:lineRule="auto"/>
        <w:ind w:left="567" w:hanging="567"/>
        <w:rPr>
          <w:rFonts w:cs="Arial"/>
          <w:lang w:val="fr-CH"/>
        </w:rPr>
      </w:pPr>
    </w:p>
    <w:p w14:paraId="2C17FD54" w14:textId="22CA1D81" w:rsidR="00800323" w:rsidRPr="00E37B90" w:rsidRDefault="003A59BA" w:rsidP="005C40D6">
      <w:pPr>
        <w:jc w:val="both"/>
        <w:rPr>
          <w:rFonts w:cs="Arial"/>
          <w:b/>
          <w:bCs/>
          <w:lang w:val="fr-CH"/>
        </w:rPr>
      </w:pPr>
      <w:r w:rsidRPr="00E37B90">
        <w:rPr>
          <w:rFonts w:cs="Arial"/>
          <w:b/>
          <w:bCs/>
          <w:lang w:val="fr-CH"/>
        </w:rPr>
        <w:t>4</w:t>
      </w:r>
      <w:r w:rsidR="00B71628" w:rsidRPr="00E37B90">
        <w:rPr>
          <w:rFonts w:cs="Arial"/>
          <w:b/>
          <w:bCs/>
          <w:lang w:val="fr-CH"/>
        </w:rPr>
        <w:t>.</w:t>
      </w:r>
      <w:r w:rsidR="005C40D6" w:rsidRPr="00E37B90">
        <w:rPr>
          <w:rFonts w:cs="Arial"/>
          <w:b/>
          <w:bCs/>
          <w:lang w:val="fr-CH"/>
        </w:rPr>
        <w:tab/>
        <w:t>Autre</w:t>
      </w:r>
      <w:r w:rsidR="00800323" w:rsidRPr="00E37B90">
        <w:rPr>
          <w:rFonts w:cs="Arial"/>
          <w:b/>
          <w:bCs/>
          <w:lang w:val="fr-CH"/>
        </w:rPr>
        <w:t xml:space="preserve"> (</w:t>
      </w:r>
      <w:r w:rsidR="00EC0A40" w:rsidRPr="00E37B90">
        <w:rPr>
          <w:rFonts w:cs="Arial"/>
          <w:b/>
          <w:bCs/>
          <w:lang w:val="fr-CH"/>
        </w:rPr>
        <w:t xml:space="preserve">l’impact anticipé de l’inclusion financière doit être </w:t>
      </w:r>
      <w:r w:rsidR="005C40D6" w:rsidRPr="00E37B90">
        <w:rPr>
          <w:rFonts w:cs="Arial"/>
          <w:b/>
          <w:bCs/>
          <w:lang w:val="fr-CH"/>
        </w:rPr>
        <w:t>significatif</w:t>
      </w:r>
      <w:r w:rsidR="00800323" w:rsidRPr="00E37B90">
        <w:rPr>
          <w:rFonts w:cs="Arial"/>
          <w:b/>
          <w:bCs/>
          <w:lang w:val="fr-CH"/>
        </w:rPr>
        <w:t>)</w:t>
      </w:r>
    </w:p>
    <w:p w14:paraId="2F5E462D" w14:textId="77777777" w:rsidR="003A59BA" w:rsidRPr="00E37B90" w:rsidRDefault="003A59BA" w:rsidP="00B71628">
      <w:pPr>
        <w:spacing w:line="240" w:lineRule="auto"/>
        <w:jc w:val="both"/>
        <w:rPr>
          <w:rFonts w:cs="Arial"/>
          <w:b/>
          <w:bCs/>
          <w:lang w:val="fr-CH"/>
        </w:rPr>
      </w:pPr>
    </w:p>
    <w:p w14:paraId="4EB6EAD6" w14:textId="77777777" w:rsidR="00800323" w:rsidRPr="003A59BA" w:rsidRDefault="00800323" w:rsidP="00416A61">
      <w:pPr>
        <w:pStyle w:val="1Premierretrait"/>
        <w:numPr>
          <w:ilvl w:val="0"/>
          <w:numId w:val="0"/>
        </w:numPr>
        <w:spacing w:before="0"/>
        <w:rPr>
          <w:rFonts w:cs="Arial"/>
          <w:lang w:val="fr-CH"/>
        </w:rPr>
      </w:pPr>
      <w:r w:rsidRPr="00D32E67">
        <w:rPr>
          <w:rFonts w:cs="Arial"/>
          <w:lang w:val="fr-CH"/>
        </w:rPr>
        <w:t>Numérisation des opérations pour offrir des services financiers (assurance, épargne, etc.)</w:t>
      </w:r>
      <w:r w:rsidR="00204D3F" w:rsidRPr="00D32E67">
        <w:rPr>
          <w:rFonts w:cs="Arial"/>
          <w:lang w:val="fr-CH"/>
        </w:rPr>
        <w:t>: p</w:t>
      </w:r>
      <w:r w:rsidRPr="00D32E67">
        <w:rPr>
          <w:rFonts w:cs="Arial"/>
          <w:lang w:val="fr-CH"/>
        </w:rPr>
        <w:t>ar exemple, l’uti</w:t>
      </w:r>
      <w:r w:rsidR="0036490A" w:rsidRPr="00D32E67">
        <w:rPr>
          <w:rFonts w:cs="Arial"/>
          <w:lang w:val="fr-CH"/>
        </w:rPr>
        <w:softHyphen/>
      </w:r>
      <w:r w:rsidRPr="00D32E67">
        <w:rPr>
          <w:rFonts w:cs="Arial"/>
          <w:lang w:val="fr-CH"/>
        </w:rPr>
        <w:t>lisation de tablette</w:t>
      </w:r>
      <w:r w:rsidR="00204D3F" w:rsidRPr="00D32E67">
        <w:rPr>
          <w:rFonts w:cs="Arial"/>
          <w:lang w:val="fr-CH"/>
        </w:rPr>
        <w:t>s</w:t>
      </w:r>
      <w:r w:rsidRPr="00D32E67">
        <w:rPr>
          <w:rFonts w:cs="Arial"/>
          <w:lang w:val="fr-CH"/>
        </w:rPr>
        <w:t xml:space="preserve"> ou autres équipements mobiles par la poste pour offrir des services financiers</w:t>
      </w:r>
      <w:r w:rsidR="00204D3F" w:rsidRPr="00D32E67">
        <w:rPr>
          <w:rFonts w:cs="Arial"/>
          <w:lang w:val="fr-CH"/>
        </w:rPr>
        <w:t>.</w:t>
      </w:r>
    </w:p>
    <w:sectPr w:rsidR="00800323" w:rsidRPr="003A59BA" w:rsidSect="000C02B8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28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C19DB" w14:textId="77777777" w:rsidR="00800323" w:rsidRDefault="00800323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E68EB8E" w14:textId="77777777" w:rsidR="00800323" w:rsidRDefault="0080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0BEA" w14:textId="77777777" w:rsidR="00800323" w:rsidRDefault="00800323" w:rsidP="009E7ADC">
      <w:pPr>
        <w:rPr>
          <w:sz w:val="18"/>
        </w:rPr>
      </w:pPr>
    </w:p>
  </w:footnote>
  <w:footnote w:type="continuationSeparator" w:id="0">
    <w:p w14:paraId="288EF8D6" w14:textId="77777777" w:rsidR="00800323" w:rsidRPr="00252BCD" w:rsidRDefault="00800323" w:rsidP="009E7ADC">
      <w:pPr>
        <w:rPr>
          <w:sz w:val="18"/>
          <w:szCs w:val="18"/>
        </w:rPr>
      </w:pPr>
    </w:p>
  </w:footnote>
  <w:footnote w:type="continuationNotice" w:id="1">
    <w:p w14:paraId="33696749" w14:textId="77777777" w:rsidR="00800323" w:rsidRPr="00252BCD" w:rsidRDefault="00800323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DE79" w14:textId="77777777" w:rsidR="00527FF5" w:rsidRDefault="00527FF5">
    <w:pPr>
      <w:jc w:val="center"/>
    </w:pPr>
    <w:r>
      <w:pgNum/>
    </w:r>
  </w:p>
  <w:p w14:paraId="02578088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8A98" w14:textId="77777777" w:rsidR="00527FF5" w:rsidRDefault="00527FF5" w:rsidP="00F639BA">
    <w:pPr>
      <w:jc w:val="center"/>
    </w:pPr>
    <w:r>
      <w:pgNum/>
    </w:r>
  </w:p>
  <w:p w14:paraId="0B13C190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5D1B53C3" w14:textId="77777777">
      <w:trPr>
        <w:trHeight w:val="1418"/>
      </w:trPr>
      <w:tc>
        <w:tcPr>
          <w:tcW w:w="3119" w:type="dxa"/>
        </w:tcPr>
        <w:p w14:paraId="550B80D6" w14:textId="77777777"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55A7ED7" w14:textId="77777777" w:rsidR="00F87364" w:rsidRDefault="00FB6F79" w:rsidP="00800323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 xml:space="preserve">Annexe </w:t>
          </w:r>
          <w:r w:rsidR="00800323">
            <w:rPr>
              <w:rFonts w:cs="Arial"/>
            </w:rPr>
            <w:t>1</w:t>
          </w:r>
          <w:r w:rsidR="00376861" w:rsidRPr="001813EE">
            <w:rPr>
              <w:rFonts w:cs="Arial"/>
            </w:rPr>
            <w:t xml:space="preserve"> </w:t>
          </w:r>
          <w:r w:rsidR="001813EE">
            <w:rPr>
              <w:rFonts w:cs="Arial"/>
            </w:rPr>
            <w:br/>
          </w:r>
        </w:p>
        <w:p w14:paraId="6BC0C390" w14:textId="77777777" w:rsidR="00282FAD" w:rsidRPr="001813EE" w:rsidRDefault="00800323" w:rsidP="001567C5">
          <w:pPr>
            <w:autoSpaceDE w:val="0"/>
            <w:autoSpaceDN w:val="0"/>
            <w:adjustRightInd w:val="0"/>
            <w:jc w:val="right"/>
          </w:pPr>
          <w:r w:rsidRPr="00543A4E"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2F2CF26" wp14:editId="5801A551">
                <wp:extent cx="697163" cy="1419225"/>
                <wp:effectExtent l="0" t="0" r="8255" b="0"/>
                <wp:docPr id="16" name="Image 16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233" cy="143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941C5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FB2545E"/>
    <w:multiLevelType w:val="hybridMultilevel"/>
    <w:tmpl w:val="174AB618"/>
    <w:lvl w:ilvl="0" w:tplc="5B867F0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2440567A"/>
    <w:multiLevelType w:val="hybridMultilevel"/>
    <w:tmpl w:val="BE88E8CC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D0BA9"/>
    <w:multiLevelType w:val="hybridMultilevel"/>
    <w:tmpl w:val="FC90B25E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1B3A"/>
    <w:multiLevelType w:val="hybridMultilevel"/>
    <w:tmpl w:val="7EBEC78A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51FE39E7"/>
    <w:multiLevelType w:val="hybridMultilevel"/>
    <w:tmpl w:val="8D103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9EF6E0B"/>
    <w:multiLevelType w:val="hybridMultilevel"/>
    <w:tmpl w:val="EDD0FB9A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33CBD"/>
    <w:multiLevelType w:val="hybridMultilevel"/>
    <w:tmpl w:val="7958C7DA"/>
    <w:lvl w:ilvl="0" w:tplc="75663AF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754B5"/>
    <w:multiLevelType w:val="hybridMultilevel"/>
    <w:tmpl w:val="B44E837C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B1374D1"/>
    <w:multiLevelType w:val="hybridMultilevel"/>
    <w:tmpl w:val="84FC4C28"/>
    <w:lvl w:ilvl="0" w:tplc="040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3"/>
  </w:num>
  <w:num w:numId="7">
    <w:abstractNumId w:val="24"/>
  </w:num>
  <w:num w:numId="8">
    <w:abstractNumId w:val="4"/>
  </w:num>
  <w:num w:numId="9">
    <w:abstractNumId w:val="1"/>
  </w:num>
  <w:num w:numId="10">
    <w:abstractNumId w:val="19"/>
  </w:num>
  <w:num w:numId="11">
    <w:abstractNumId w:val="15"/>
  </w:num>
  <w:num w:numId="12">
    <w:abstractNumId w:val="22"/>
  </w:num>
  <w:num w:numId="13">
    <w:abstractNumId w:val="0"/>
  </w:num>
  <w:num w:numId="14">
    <w:abstractNumId w:val="20"/>
  </w:num>
  <w:num w:numId="15">
    <w:abstractNumId w:val="2"/>
  </w:num>
  <w:num w:numId="16">
    <w:abstractNumId w:val="20"/>
  </w:num>
  <w:num w:numId="17">
    <w:abstractNumId w:val="0"/>
  </w:num>
  <w:num w:numId="18">
    <w:abstractNumId w:val="2"/>
  </w:num>
  <w:num w:numId="19">
    <w:abstractNumId w:val="5"/>
  </w:num>
  <w:num w:numId="20">
    <w:abstractNumId w:val="18"/>
  </w:num>
  <w:num w:numId="21">
    <w:abstractNumId w:val="9"/>
  </w:num>
  <w:num w:numId="22">
    <w:abstractNumId w:val="16"/>
  </w:num>
  <w:num w:numId="23">
    <w:abstractNumId w:val="8"/>
  </w:num>
  <w:num w:numId="24">
    <w:abstractNumId w:val="10"/>
  </w:num>
  <w:num w:numId="25">
    <w:abstractNumId w:val="21"/>
  </w:num>
  <w:num w:numId="26">
    <w:abstractNumId w:val="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23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C02B8"/>
    <w:rsid w:val="000D1BB1"/>
    <w:rsid w:val="000E0AB2"/>
    <w:rsid w:val="000F0306"/>
    <w:rsid w:val="001006F4"/>
    <w:rsid w:val="00104F21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B1F10"/>
    <w:rsid w:val="001C0707"/>
    <w:rsid w:val="001C6BEC"/>
    <w:rsid w:val="00204D3F"/>
    <w:rsid w:val="002114A9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6490A"/>
    <w:rsid w:val="00372B67"/>
    <w:rsid w:val="0037420A"/>
    <w:rsid w:val="003750AE"/>
    <w:rsid w:val="00376861"/>
    <w:rsid w:val="003A59BA"/>
    <w:rsid w:val="003B1F46"/>
    <w:rsid w:val="003D3285"/>
    <w:rsid w:val="003F1B05"/>
    <w:rsid w:val="003F1D49"/>
    <w:rsid w:val="00416A61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1250"/>
    <w:rsid w:val="005C2838"/>
    <w:rsid w:val="005C40D6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A4479"/>
    <w:rsid w:val="007B6036"/>
    <w:rsid w:val="007C679A"/>
    <w:rsid w:val="007D07CD"/>
    <w:rsid w:val="007D2933"/>
    <w:rsid w:val="007D6956"/>
    <w:rsid w:val="007E0A42"/>
    <w:rsid w:val="007E6319"/>
    <w:rsid w:val="007F6E68"/>
    <w:rsid w:val="00800323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37123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334D4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628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CF6ACC"/>
    <w:rsid w:val="00D154F8"/>
    <w:rsid w:val="00D32E67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D7242"/>
    <w:rsid w:val="00E00BF1"/>
    <w:rsid w:val="00E048A5"/>
    <w:rsid w:val="00E10CD5"/>
    <w:rsid w:val="00E270C8"/>
    <w:rsid w:val="00E31D00"/>
    <w:rsid w:val="00E3448B"/>
    <w:rsid w:val="00E3538A"/>
    <w:rsid w:val="00E37B90"/>
    <w:rsid w:val="00E603F6"/>
    <w:rsid w:val="00E72B05"/>
    <w:rsid w:val="00E76C5C"/>
    <w:rsid w:val="00EC0A40"/>
    <w:rsid w:val="00EC6981"/>
    <w:rsid w:val="00EC7925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283979"/>
  <w15:docId w15:val="{37F151E0-4760-4D35-BB6C-D1EB915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23"/>
    <w:pPr>
      <w:spacing w:line="240" w:lineRule="atLeast"/>
    </w:pPr>
    <w:rPr>
      <w:rFonts w:ascii="Arial" w:hAnsi="Arial"/>
      <w:lang w:val="en-GB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paragraph" w:customStyle="1" w:styleId="1Premierretrait">
    <w:name w:val="1 Premier retrait"/>
    <w:basedOn w:val="Normal"/>
    <w:rsid w:val="00800323"/>
    <w:pPr>
      <w:numPr>
        <w:numId w:val="19"/>
      </w:numPr>
      <w:spacing w:before="120"/>
      <w:jc w:val="both"/>
    </w:pPr>
  </w:style>
  <w:style w:type="paragraph" w:styleId="Paragraphedeliste">
    <w:name w:val="List Paragraph"/>
    <w:basedOn w:val="Normal"/>
    <w:uiPriority w:val="99"/>
    <w:qFormat/>
    <w:rsid w:val="00800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PEGASE-7-673219</_dlc_DocId>
    <_dlc_DocIdUrl xmlns="b4ec4095-9810-4e60-b964-3161185fe897">
      <Url>https://pegase.upu.int/_layouts/DocIdRedir.aspx?ID=PEGASE-7-673219</Url>
      <Description>PEGASE-7-673219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2779-04F9-4757-A575-E0AB60C464A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4ec4095-9810-4e60-b964-3161185fe8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C357EC-31C7-4826-BD65-CE8655CB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F4E16-B61B-41BF-8342-BE9698B69E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FF481E-F971-4339-A7F7-BCC0C0EBD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3C0AF-3F84-4A24-8411-AF9ECEE9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CERISON tiziana</dc:creator>
  <cp:lastModifiedBy>TINGUELY catherine</cp:lastModifiedBy>
  <cp:revision>2</cp:revision>
  <cp:lastPrinted>2009-02-19T13:40:00Z</cp:lastPrinted>
  <dcterms:created xsi:type="dcterms:W3CDTF">2019-01-21T09:50:00Z</dcterms:created>
  <dcterms:modified xsi:type="dcterms:W3CDTF">2019-01-21T09:50:00Z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6a006b58-e935-490d-9b74-652048f05c00</vt:lpwstr>
  </property>
</Properties>
</file>