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2118" w14:textId="4C61D7E8" w:rsidR="003A33C5" w:rsidRPr="00F641C3" w:rsidRDefault="003A33C5" w:rsidP="00E70D95">
      <w:pPr>
        <w:pStyle w:val="0Textedebase"/>
        <w:rPr>
          <w:b/>
          <w:bCs/>
        </w:rPr>
      </w:pPr>
      <w:r w:rsidRPr="00F641C3">
        <w:rPr>
          <w:b/>
          <w:bCs/>
        </w:rPr>
        <w:t xml:space="preserve">Notification of </w:t>
      </w:r>
      <w:r w:rsidR="00230456" w:rsidRPr="00F641C3">
        <w:rPr>
          <w:b/>
          <w:bCs/>
        </w:rPr>
        <w:t xml:space="preserve">domestic tariffs and </w:t>
      </w:r>
      <w:r w:rsidRPr="00F641C3">
        <w:rPr>
          <w:b/>
          <w:bCs/>
        </w:rPr>
        <w:t xml:space="preserve">self-declared rates for </w:t>
      </w:r>
      <w:r w:rsidR="00230456" w:rsidRPr="00F641C3">
        <w:rPr>
          <w:b/>
          <w:bCs/>
        </w:rPr>
        <w:t>parcel</w:t>
      </w:r>
      <w:r w:rsidRPr="00F641C3">
        <w:rPr>
          <w:b/>
          <w:bCs/>
        </w:rPr>
        <w:t xml:space="preserve"> items with effect from 1 January </w:t>
      </w:r>
      <w:r w:rsidR="00225DA3" w:rsidRPr="00F641C3">
        <w:rPr>
          <w:b/>
          <w:bCs/>
        </w:rPr>
        <w:t>202</w:t>
      </w:r>
      <w:r w:rsidR="00E23350" w:rsidRPr="00F641C3">
        <w:rPr>
          <w:b/>
          <w:bCs/>
        </w:rPr>
        <w:t>7</w:t>
      </w:r>
    </w:p>
    <w:p w14:paraId="2F1E56E8" w14:textId="574B2B49" w:rsidR="003A33C5" w:rsidRPr="00F641C3" w:rsidRDefault="003A33C5" w:rsidP="003A33C5">
      <w:pPr>
        <w:pStyle w:val="0Textedebase"/>
      </w:pPr>
    </w:p>
    <w:p w14:paraId="79C863F6" w14:textId="77777777" w:rsidR="009268A7" w:rsidRPr="00F641C3" w:rsidRDefault="009268A7" w:rsidP="003A33C5">
      <w:pPr>
        <w:pStyle w:val="0Textedebas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7F76" w:rsidRPr="00F641C3" w14:paraId="73BB230B" w14:textId="77777777" w:rsidTr="008E7F76">
        <w:tc>
          <w:tcPr>
            <w:tcW w:w="9628" w:type="dxa"/>
            <w:vAlign w:val="center"/>
          </w:tcPr>
          <w:p w14:paraId="72B70EAE" w14:textId="1573F158" w:rsidR="008E7F76" w:rsidRPr="00F641C3" w:rsidRDefault="008E7F76" w:rsidP="009D0F1A">
            <w:pPr>
              <w:pStyle w:val="0Textedebase"/>
              <w:spacing w:before="60" w:after="60"/>
            </w:pPr>
            <w:r w:rsidRPr="00F641C3">
              <w:rPr>
                <w:b/>
                <w:bCs/>
              </w:rPr>
              <w:t>Note</w:t>
            </w:r>
            <w:r w:rsidR="00415C4B" w:rsidRPr="00F641C3">
              <w:rPr>
                <w:b/>
                <w:bCs/>
              </w:rPr>
              <w:t>. –</w:t>
            </w:r>
            <w:r w:rsidRPr="00F641C3">
              <w:t xml:space="preserve"> </w:t>
            </w:r>
            <w:r w:rsidR="00145CCB" w:rsidRPr="00F641C3">
              <w:rPr>
                <w:rFonts w:cs="Arial"/>
              </w:rPr>
              <w:t>This questionnaire should be completed and returned by designated operators</w:t>
            </w:r>
            <w:r w:rsidR="000C7679" w:rsidRPr="00F641C3">
              <w:rPr>
                <w:rFonts w:cs="Arial"/>
              </w:rPr>
              <w:t xml:space="preserve"> (DOs)</w:t>
            </w:r>
            <w:r w:rsidR="00145CCB" w:rsidRPr="00F641C3">
              <w:rPr>
                <w:rFonts w:cs="Arial"/>
              </w:rPr>
              <w:t>.</w:t>
            </w:r>
          </w:p>
        </w:tc>
      </w:tr>
    </w:tbl>
    <w:p w14:paraId="6D3C4452" w14:textId="77777777" w:rsidR="003A33C5" w:rsidRPr="00F641C3" w:rsidRDefault="003A33C5" w:rsidP="003A33C5">
      <w:pPr>
        <w:pStyle w:val="0Textedebase"/>
      </w:pPr>
    </w:p>
    <w:p w14:paraId="56096CF1" w14:textId="11C5D816" w:rsidR="00294B59" w:rsidRPr="00F641C3" w:rsidRDefault="00EF4F35" w:rsidP="00407587">
      <w:pPr>
        <w:jc w:val="both"/>
      </w:pPr>
      <w:r w:rsidRPr="00FC523B">
        <w:rPr>
          <w:spacing w:val="-2"/>
        </w:rPr>
        <w:t xml:space="preserve">This questionnaire is to be returned without a covering letter as soon as possible, but </w:t>
      </w:r>
      <w:r w:rsidRPr="00FC523B">
        <w:rPr>
          <w:b/>
          <w:spacing w:val="-2"/>
        </w:rPr>
        <w:t xml:space="preserve">no later than 1 </w:t>
      </w:r>
      <w:r w:rsidR="00225DA3" w:rsidRPr="00FC523B">
        <w:rPr>
          <w:b/>
          <w:spacing w:val="-2"/>
        </w:rPr>
        <w:t xml:space="preserve">May </w:t>
      </w:r>
      <w:r w:rsidR="00225DA3" w:rsidRPr="00FC523B">
        <w:rPr>
          <w:b/>
          <w:bCs/>
          <w:spacing w:val="-2"/>
        </w:rPr>
        <w:t>202</w:t>
      </w:r>
      <w:r w:rsidR="00E23350" w:rsidRPr="00FC523B">
        <w:rPr>
          <w:b/>
          <w:bCs/>
          <w:spacing w:val="-2"/>
        </w:rPr>
        <w:t>6</w:t>
      </w:r>
      <w:r w:rsidRPr="00FC523B">
        <w:rPr>
          <w:spacing w:val="-2"/>
        </w:rPr>
        <w:t xml:space="preserve">, by e-mail to Mr </w:t>
      </w:r>
      <w:proofErr w:type="spellStart"/>
      <w:r w:rsidRPr="00FC523B">
        <w:rPr>
          <w:spacing w:val="-2"/>
        </w:rPr>
        <w:t>Vytis</w:t>
      </w:r>
      <w:proofErr w:type="spellEnd"/>
      <w:r w:rsidRPr="00FC523B">
        <w:rPr>
          <w:spacing w:val="-2"/>
        </w:rPr>
        <w:t xml:space="preserve"> </w:t>
      </w:r>
      <w:proofErr w:type="spellStart"/>
      <w:r w:rsidRPr="00FC523B">
        <w:rPr>
          <w:spacing w:val="-2"/>
        </w:rPr>
        <w:t>Staskevicius</w:t>
      </w:r>
      <w:proofErr w:type="spellEnd"/>
      <w:r w:rsidRPr="00FC523B">
        <w:rPr>
          <w:spacing w:val="-2"/>
        </w:rPr>
        <w:t xml:space="preserve"> (</w:t>
      </w:r>
      <w:hyperlink r:id="rId11" w:history="1">
        <w:r w:rsidR="00FC523B" w:rsidRPr="00FC523B">
          <w:rPr>
            <w:rStyle w:val="Hyperlink"/>
            <w:spacing w:val="-2"/>
          </w:rPr>
          <w:t>staskeviciusv@upu.int</w:t>
        </w:r>
      </w:hyperlink>
      <w:r w:rsidRPr="00FC523B">
        <w:rPr>
          <w:spacing w:val="-2"/>
        </w:rPr>
        <w:t>) and Ms Virginia Espinoza (</w:t>
      </w:r>
      <w:hyperlink r:id="rId12" w:history="1">
        <w:r w:rsidR="00FC523B" w:rsidRPr="00FC523B">
          <w:rPr>
            <w:rStyle w:val="Hyperlink"/>
            <w:spacing w:val="-2"/>
          </w:rPr>
          <w:t>espinozav@upu.int</w:t>
        </w:r>
      </w:hyperlink>
      <w:r w:rsidRPr="00FC523B">
        <w:rPr>
          <w:spacing w:val="-2"/>
        </w:rPr>
        <w:t>),</w:t>
      </w:r>
      <w:r w:rsidRPr="00F641C3">
        <w:t xml:space="preserve"> or to the following address:</w:t>
      </w:r>
    </w:p>
    <w:p w14:paraId="45157CAB" w14:textId="7650F68C" w:rsidR="00F47F4B" w:rsidRPr="00F641C3" w:rsidRDefault="00F47F4B" w:rsidP="00F47F4B">
      <w:pPr>
        <w:spacing w:before="120"/>
        <w:jc w:val="both"/>
      </w:pPr>
      <w:r w:rsidRPr="00F641C3">
        <w:t>Mr Vytis Staskevicius</w:t>
      </w:r>
    </w:p>
    <w:p w14:paraId="645C7746" w14:textId="5F884E46" w:rsidR="00F47F4B" w:rsidRPr="00F641C3" w:rsidRDefault="00F47F4B" w:rsidP="00F47F4B">
      <w:pPr>
        <w:jc w:val="both"/>
      </w:pPr>
      <w:r w:rsidRPr="00F641C3">
        <w:t>Remuneration Development</w:t>
      </w:r>
      <w:r w:rsidR="00FE3221" w:rsidRPr="00F641C3">
        <w:t xml:space="preserve"> and Integration</w:t>
      </w:r>
      <w:r w:rsidRPr="00F641C3">
        <w:t xml:space="preserve"> Expert</w:t>
      </w:r>
    </w:p>
    <w:p w14:paraId="44014674" w14:textId="77777777" w:rsidR="00F47F4B" w:rsidRPr="00F641C3" w:rsidRDefault="00F47F4B" w:rsidP="00F47F4B">
      <w:pPr>
        <w:jc w:val="both"/>
      </w:pPr>
      <w:r w:rsidRPr="00F641C3">
        <w:t>UPU International Bureau</w:t>
      </w:r>
    </w:p>
    <w:p w14:paraId="7FF8A1A9" w14:textId="71566477" w:rsidR="00F47F4B" w:rsidRPr="00F641C3" w:rsidRDefault="00F47F4B" w:rsidP="00F47F4B">
      <w:pPr>
        <w:jc w:val="both"/>
      </w:pPr>
      <w:r w:rsidRPr="00F641C3">
        <w:t>3015 BERNE</w:t>
      </w:r>
    </w:p>
    <w:p w14:paraId="005EC237" w14:textId="77777777" w:rsidR="00F47F4B" w:rsidRPr="00F641C3" w:rsidRDefault="00F47F4B" w:rsidP="00F47F4B">
      <w:pPr>
        <w:jc w:val="both"/>
      </w:pPr>
      <w:r w:rsidRPr="00F641C3">
        <w:t>SWITZERLAND</w:t>
      </w:r>
    </w:p>
    <w:p w14:paraId="79A7A139" w14:textId="5463CC10" w:rsidR="00294B59" w:rsidRPr="00F641C3" w:rsidRDefault="00294B59" w:rsidP="00840AFA">
      <w:pPr>
        <w:pStyle w:val="0Textedebase"/>
      </w:pPr>
    </w:p>
    <w:p w14:paraId="71101511" w14:textId="5E5586ED" w:rsidR="00C06D93" w:rsidRPr="00F641C3" w:rsidRDefault="00C06D93" w:rsidP="00840AFA">
      <w:pPr>
        <w:pStyle w:val="0Textedebase"/>
        <w:rPr>
          <w:spacing w:val="-4"/>
        </w:rPr>
      </w:pPr>
      <w:r w:rsidRPr="00F641C3">
        <w:rPr>
          <w:spacing w:val="-4"/>
        </w:rPr>
        <w:t xml:space="preserve">The electronic version of the questionnaire in this annex is available at the following link: </w:t>
      </w:r>
      <w:hyperlink r:id="rId13" w:history="1">
        <w:r w:rsidR="00840AFA" w:rsidRPr="00F641C3">
          <w:rPr>
            <w:rStyle w:val="Hyperlink"/>
            <w:spacing w:val="-4"/>
          </w:rPr>
          <w:t>www.surveymonkey.com/r/</w:t>
        </w:r>
        <w:r w:rsidR="00840AFA" w:rsidRPr="00F641C3">
          <w:rPr>
            <w:rStyle w:val="Hyperlink"/>
            <w:spacing w:val="-4"/>
          </w:rPr>
          <w:br/>
          <w:t>DFS8SK8</w:t>
        </w:r>
      </w:hyperlink>
    </w:p>
    <w:p w14:paraId="6D3679FC" w14:textId="77777777" w:rsidR="00C06D93" w:rsidRPr="00F641C3" w:rsidRDefault="00C06D93" w:rsidP="00840AFA">
      <w:pPr>
        <w:pStyle w:val="0Textedebase"/>
      </w:pPr>
    </w:p>
    <w:p w14:paraId="11051EB2" w14:textId="0F50095D" w:rsidR="00C06D93" w:rsidRPr="00FC523B" w:rsidRDefault="00C06D93" w:rsidP="00840AFA">
      <w:pPr>
        <w:pStyle w:val="0Textedebase"/>
        <w:rPr>
          <w:i/>
          <w:iCs/>
        </w:rPr>
      </w:pPr>
      <w:r w:rsidRPr="00FC523B">
        <w:rPr>
          <w:i/>
          <w:iCs/>
        </w:rPr>
        <w:t xml:space="preserve">Please note that </w:t>
      </w:r>
      <w:r w:rsidR="00FE3221" w:rsidRPr="00FC523B">
        <w:rPr>
          <w:i/>
          <w:iCs/>
        </w:rPr>
        <w:t>DOs</w:t>
      </w:r>
      <w:r w:rsidRPr="00FC523B">
        <w:rPr>
          <w:i/>
          <w:iCs/>
        </w:rPr>
        <w:t xml:space="preserve"> submitting their notification via SurveyMonkey do not need to return the forms in Word format by e</w:t>
      </w:r>
      <w:r w:rsidR="00FE3221" w:rsidRPr="00FC523B">
        <w:rPr>
          <w:i/>
          <w:iCs/>
        </w:rPr>
        <w:t>-</w:t>
      </w:r>
      <w:r w:rsidRPr="00FC523B">
        <w:rPr>
          <w:i/>
          <w:iCs/>
        </w:rPr>
        <w:t>mail.</w:t>
      </w:r>
    </w:p>
    <w:p w14:paraId="0D1FBFCE" w14:textId="77777777" w:rsidR="009E3C35" w:rsidRPr="00F641C3" w:rsidRDefault="009E3C35" w:rsidP="00840AFA">
      <w:pPr>
        <w:pStyle w:val="0Textedebase"/>
      </w:pPr>
    </w:p>
    <w:p w14:paraId="2EE0F34E" w14:textId="3EEA5C0D" w:rsidR="00294B59" w:rsidRPr="00F641C3" w:rsidRDefault="00294B59" w:rsidP="00294B59">
      <w:pPr>
        <w:jc w:val="both"/>
      </w:pPr>
      <w:r w:rsidRPr="00F641C3">
        <w:t>D</w:t>
      </w:r>
      <w:r w:rsidR="00FE3221" w:rsidRPr="00F641C3">
        <w:t>Os</w:t>
      </w:r>
      <w:r w:rsidRPr="00F641C3">
        <w:t xml:space="preserve"> are encouraged to send their notification by e-mail or to send a copy</w:t>
      </w:r>
      <w:r w:rsidR="00FE3221" w:rsidRPr="00F641C3">
        <w:t xml:space="preserve"> of it</w:t>
      </w:r>
      <w:r w:rsidRPr="00F641C3">
        <w:t xml:space="preserve"> by e-mail if they submit </w:t>
      </w:r>
      <w:r w:rsidR="00FE3221" w:rsidRPr="00F641C3">
        <w:t xml:space="preserve">it </w:t>
      </w:r>
      <w:r w:rsidRPr="00F641C3">
        <w:t>by regular mail.</w:t>
      </w:r>
    </w:p>
    <w:p w14:paraId="06E2CAE3" w14:textId="77777777" w:rsidR="00294B59" w:rsidRPr="00F641C3" w:rsidRDefault="00294B59" w:rsidP="00294B59">
      <w:pPr>
        <w:pStyle w:val="0Textedebase"/>
      </w:pPr>
    </w:p>
    <w:p w14:paraId="267BFCC7" w14:textId="0E972ECC" w:rsidR="003A33C5" w:rsidRPr="00F641C3" w:rsidRDefault="00294B59" w:rsidP="00671A0E">
      <w:pPr>
        <w:pStyle w:val="0Textedebase"/>
      </w:pPr>
      <w:r w:rsidRPr="00F641C3">
        <w:t xml:space="preserve">Should you have any problems completing this questionnaire, please contact </w:t>
      </w:r>
      <w:r w:rsidR="00EF4F35" w:rsidRPr="00F641C3">
        <w:t>Mr Vytis Staskevicius and Ms</w:t>
      </w:r>
      <w:r w:rsidR="00F641C3" w:rsidRPr="00F641C3">
        <w:t> </w:t>
      </w:r>
      <w:r w:rsidR="00EF4F35" w:rsidRPr="00F641C3">
        <w:t>Virginia Espinoza by e-mail.</w:t>
      </w:r>
    </w:p>
    <w:p w14:paraId="7C21035E" w14:textId="77777777" w:rsidR="00F47F4B" w:rsidRPr="00F641C3" w:rsidRDefault="00F47F4B" w:rsidP="00671A0E">
      <w:pPr>
        <w:pStyle w:val="0Textedebase"/>
        <w:rPr>
          <w:rFonts w:cs="Arial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2791"/>
        <w:gridCol w:w="2004"/>
      </w:tblGrid>
      <w:tr w:rsidR="003A33C5" w:rsidRPr="00F641C3" w14:paraId="65E3E3AC" w14:textId="77777777" w:rsidTr="00E67A65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14:paraId="7D9D2638" w14:textId="77777777" w:rsidR="003A33C5" w:rsidRPr="00F641C3" w:rsidRDefault="003A33C5" w:rsidP="00E67A65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F641C3">
              <w:rPr>
                <w:rFonts w:cs="Arial"/>
                <w:sz w:val="16"/>
                <w:szCs w:val="16"/>
              </w:rPr>
              <w:t>Designated operator</w:t>
            </w:r>
          </w:p>
          <w:p w14:paraId="10D040EF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057DDC7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3A33C5" w:rsidRPr="00F641C3" w14:paraId="7373F847" w14:textId="77777777" w:rsidTr="00E67A65">
        <w:trPr>
          <w:cantSplit/>
          <w:trHeight w:val="33"/>
        </w:trPr>
        <w:tc>
          <w:tcPr>
            <w:tcW w:w="7650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72A22927" w14:textId="6C71173D" w:rsidR="003A33C5" w:rsidRPr="00F641C3" w:rsidRDefault="005C4305" w:rsidP="00E67A65">
            <w:pPr>
              <w:spacing w:line="240" w:lineRule="auto"/>
              <w:ind w:right="75"/>
              <w:rPr>
                <w:rFonts w:cs="Arial"/>
                <w:sz w:val="16"/>
                <w:szCs w:val="16"/>
              </w:rPr>
            </w:pPr>
            <w:r w:rsidRPr="00F641C3">
              <w:rPr>
                <w:rFonts w:cs="Arial"/>
                <w:sz w:val="16"/>
                <w:szCs w:val="16"/>
              </w:rPr>
              <w:t>Full name</w:t>
            </w:r>
          </w:p>
          <w:p w14:paraId="5211BE0B" w14:textId="77777777" w:rsidR="003A33C5" w:rsidRPr="00F641C3" w:rsidRDefault="003A33C5" w:rsidP="00E67A65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0DB49606" w14:textId="77777777" w:rsidR="003A33C5" w:rsidRPr="00F641C3" w:rsidRDefault="003A33C5" w:rsidP="00E67A65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63EC187A" w14:textId="616CC65D" w:rsidR="003A33C5" w:rsidRPr="00F641C3" w:rsidRDefault="00FC523B" w:rsidP="00407587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3A33C5" w:rsidRPr="00F641C3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3A33C5" w:rsidRPr="00F641C3">
              <w:rPr>
                <w:rFonts w:cs="Arial"/>
                <w:sz w:val="16"/>
                <w:szCs w:val="16"/>
              </w:rPr>
              <w:t xml:space="preserve"> M</w:t>
            </w:r>
            <w:r w:rsidR="00407587" w:rsidRPr="00F641C3">
              <w:rPr>
                <w:rFonts w:cs="Arial"/>
                <w:sz w:val="16"/>
                <w:szCs w:val="16"/>
              </w:rPr>
              <w:t>r</w:t>
            </w:r>
            <w:r w:rsidR="003A33C5" w:rsidRPr="00F641C3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3A33C5" w:rsidRPr="00F641C3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3A33C5" w:rsidRPr="00F641C3">
              <w:rPr>
                <w:rFonts w:cs="Arial"/>
                <w:sz w:val="16"/>
                <w:szCs w:val="16"/>
              </w:rPr>
              <w:t xml:space="preserve"> M</w:t>
            </w:r>
            <w:r w:rsidR="00407587" w:rsidRPr="00F641C3">
              <w:rPr>
                <w:rFonts w:cs="Arial"/>
                <w:sz w:val="16"/>
                <w:szCs w:val="16"/>
              </w:rPr>
              <w:t>s</w:t>
            </w:r>
          </w:p>
        </w:tc>
      </w:tr>
      <w:tr w:rsidR="003A33C5" w:rsidRPr="00F641C3" w14:paraId="18E21B82" w14:textId="77777777" w:rsidTr="00E67A65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14:paraId="4308B494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F641C3">
              <w:rPr>
                <w:rFonts w:cs="Arial"/>
                <w:sz w:val="16"/>
                <w:szCs w:val="16"/>
              </w:rPr>
              <w:t>Position/title</w:t>
            </w:r>
          </w:p>
          <w:p w14:paraId="4004641D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38177EB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3A33C5" w:rsidRPr="00F641C3" w14:paraId="653807D1" w14:textId="77777777" w:rsidTr="00E67A65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14:paraId="3546195A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F641C3">
              <w:rPr>
                <w:rFonts w:cs="Arial"/>
                <w:sz w:val="16"/>
                <w:szCs w:val="16"/>
              </w:rPr>
              <w:t>Address</w:t>
            </w:r>
          </w:p>
          <w:p w14:paraId="5D476457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16E144DC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B1B6AEF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5E249CF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15367520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3A33C5" w:rsidRPr="00F641C3" w14:paraId="593B7AC4" w14:textId="77777777" w:rsidTr="00E67A65">
        <w:trPr>
          <w:cantSplit/>
          <w:trHeight w:val="192"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3190C9CC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F641C3">
              <w:rPr>
                <w:rFonts w:cs="Arial"/>
                <w:sz w:val="16"/>
                <w:szCs w:val="16"/>
              </w:rPr>
              <w:t>Tel.</w:t>
            </w:r>
          </w:p>
          <w:p w14:paraId="1A9A6E07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317BD0FE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14:paraId="760D80EE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F641C3">
              <w:rPr>
                <w:rFonts w:cs="Arial"/>
                <w:sz w:val="16"/>
                <w:szCs w:val="16"/>
              </w:rPr>
              <w:t>Fax</w:t>
            </w:r>
          </w:p>
          <w:p w14:paraId="7F18106F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3A33C5" w:rsidRPr="00F641C3" w14:paraId="7DB9FAB4" w14:textId="77777777" w:rsidTr="00E67A65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14:paraId="59E1A890" w14:textId="77777777" w:rsidR="003A33C5" w:rsidRPr="00F641C3" w:rsidRDefault="003A33C5" w:rsidP="00E67A65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  <w:r w:rsidRPr="00F641C3">
              <w:rPr>
                <w:rFonts w:eastAsia="SimSun" w:cs="Arial"/>
                <w:sz w:val="16"/>
                <w:szCs w:val="16"/>
              </w:rPr>
              <w:t>E-mail</w:t>
            </w:r>
          </w:p>
          <w:p w14:paraId="410C83B7" w14:textId="77777777" w:rsidR="003A33C5" w:rsidRPr="00F641C3" w:rsidRDefault="003A33C5" w:rsidP="00E67A65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1825D06F" w14:textId="77777777" w:rsidR="003A33C5" w:rsidRPr="00F641C3" w:rsidRDefault="003A33C5" w:rsidP="00E67A65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  <w:tr w:rsidR="003A33C5" w:rsidRPr="00F641C3" w14:paraId="67704BBA" w14:textId="77777777" w:rsidTr="00E67A65">
        <w:trPr>
          <w:cantSplit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62D3B710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F641C3">
              <w:rPr>
                <w:rFonts w:cs="Arial"/>
                <w:sz w:val="16"/>
                <w:szCs w:val="16"/>
              </w:rPr>
              <w:t>Date</w:t>
            </w:r>
          </w:p>
          <w:p w14:paraId="6F22BB66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27C290C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14:paraId="103F87E8" w14:textId="77777777" w:rsidR="003A33C5" w:rsidRPr="00F641C3" w:rsidRDefault="003A33C5" w:rsidP="00E67A65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F641C3">
              <w:rPr>
                <w:rFonts w:cs="Arial"/>
                <w:sz w:val="16"/>
                <w:szCs w:val="16"/>
              </w:rPr>
              <w:t>Signature</w:t>
            </w:r>
          </w:p>
          <w:p w14:paraId="704D7AE3" w14:textId="77777777" w:rsidR="003A33C5" w:rsidRPr="00F641C3" w:rsidRDefault="003A33C5" w:rsidP="00E67A65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</w:tbl>
    <w:p w14:paraId="5A1602C0" w14:textId="77777777" w:rsidR="003A33C5" w:rsidRPr="00F641C3" w:rsidRDefault="003A33C5" w:rsidP="003A33C5">
      <w:pPr>
        <w:jc w:val="both"/>
        <w:rPr>
          <w:rFonts w:cs="Arial"/>
        </w:rPr>
      </w:pPr>
    </w:p>
    <w:p w14:paraId="05CB5567" w14:textId="64980637" w:rsidR="005C4305" w:rsidRPr="00F641C3" w:rsidRDefault="005C4305">
      <w:pPr>
        <w:spacing w:line="240" w:lineRule="auto"/>
        <w:rPr>
          <w:b/>
          <w:bCs/>
        </w:rPr>
      </w:pPr>
      <w:r w:rsidRPr="00F641C3">
        <w:rPr>
          <w:b/>
          <w:bCs/>
        </w:rPr>
        <w:br w:type="page"/>
      </w:r>
    </w:p>
    <w:p w14:paraId="1EC6313B" w14:textId="4995758C" w:rsidR="003A33C5" w:rsidRPr="00F641C3" w:rsidRDefault="003A33C5" w:rsidP="000648DF">
      <w:pPr>
        <w:pStyle w:val="0Textedebase"/>
        <w:spacing w:line="220" w:lineRule="atLeast"/>
        <w:rPr>
          <w:b/>
          <w:bCs/>
        </w:rPr>
      </w:pPr>
      <w:r w:rsidRPr="00F641C3">
        <w:rPr>
          <w:b/>
          <w:bCs/>
        </w:rPr>
        <w:lastRenderedPageBreak/>
        <w:t>Introduction</w:t>
      </w:r>
    </w:p>
    <w:p w14:paraId="345B59A2" w14:textId="77777777" w:rsidR="003A33C5" w:rsidRPr="00F641C3" w:rsidRDefault="003A33C5" w:rsidP="000648DF">
      <w:pPr>
        <w:pStyle w:val="0Textedebase"/>
        <w:spacing w:line="220" w:lineRule="atLeast"/>
      </w:pPr>
    </w:p>
    <w:p w14:paraId="2F8A7458" w14:textId="28766A90" w:rsidR="003A33C5" w:rsidRPr="00F641C3" w:rsidRDefault="003A33C5" w:rsidP="000648DF">
      <w:pPr>
        <w:pStyle w:val="0Textedebase"/>
        <w:spacing w:line="220" w:lineRule="atLeast"/>
      </w:pPr>
      <w:r w:rsidRPr="00F641C3">
        <w:t xml:space="preserve">The following information is required for the notification of self-declared rates for </w:t>
      </w:r>
      <w:r w:rsidR="00230456" w:rsidRPr="00F641C3">
        <w:t xml:space="preserve">parcel items </w:t>
      </w:r>
      <w:r w:rsidRPr="00F641C3">
        <w:t xml:space="preserve">with effect from 1 January </w:t>
      </w:r>
      <w:r w:rsidR="00225DA3" w:rsidRPr="00F641C3">
        <w:t>202</w:t>
      </w:r>
      <w:r w:rsidR="00E23350" w:rsidRPr="00F641C3">
        <w:t>7</w:t>
      </w:r>
      <w:r w:rsidR="005C4305" w:rsidRPr="00F641C3">
        <w:t>:</w:t>
      </w:r>
    </w:p>
    <w:p w14:paraId="6D9E1B4C" w14:textId="51F79637" w:rsidR="003A33C5" w:rsidRPr="000648DF" w:rsidRDefault="003A33C5" w:rsidP="000648DF">
      <w:pPr>
        <w:pStyle w:val="1Premierretrait"/>
        <w:spacing w:line="220" w:lineRule="atLeast"/>
      </w:pPr>
      <w:r w:rsidRPr="000648DF">
        <w:t>The self-declared rates</w:t>
      </w:r>
      <w:r w:rsidR="00FA5191" w:rsidRPr="000648DF">
        <w:t xml:space="preserve"> </w:t>
      </w:r>
      <w:r w:rsidR="0056201C" w:rsidRPr="000648DF">
        <w:t>shall be</w:t>
      </w:r>
      <w:r w:rsidRPr="000648DF">
        <w:t xml:space="preserve"> expressed as both a per-item and per-kilogramme rate in local currency</w:t>
      </w:r>
      <w:r w:rsidR="00D30D17" w:rsidRPr="000648DF">
        <w:t xml:space="preserve"> or</w:t>
      </w:r>
      <w:r w:rsidR="0056201C" w:rsidRPr="000648DF">
        <w:t xml:space="preserve"> special drawing rights</w:t>
      </w:r>
      <w:r w:rsidR="00D30D17" w:rsidRPr="000648DF">
        <w:t xml:space="preserve"> </w:t>
      </w:r>
      <w:r w:rsidR="0056201C" w:rsidRPr="000648DF">
        <w:t>(</w:t>
      </w:r>
      <w:r w:rsidR="00D30D17" w:rsidRPr="000648DF">
        <w:t>SDR</w:t>
      </w:r>
      <w:r w:rsidR="000C7679" w:rsidRPr="000648DF">
        <w:t>s</w:t>
      </w:r>
      <w:r w:rsidR="0056201C" w:rsidRPr="000648DF">
        <w:t>)</w:t>
      </w:r>
      <w:r w:rsidR="009F02C0" w:rsidRPr="000648DF">
        <w:t>.</w:t>
      </w:r>
    </w:p>
    <w:p w14:paraId="0BF9126D" w14:textId="4123D110" w:rsidR="00230456" w:rsidRPr="000648DF" w:rsidRDefault="003A33C5" w:rsidP="000648DF">
      <w:pPr>
        <w:pStyle w:val="1Premierretrait"/>
        <w:spacing w:line="220" w:lineRule="atLeast"/>
      </w:pPr>
      <w:r w:rsidRPr="000648DF">
        <w:t xml:space="preserve">The self-declared rates </w:t>
      </w:r>
      <w:r w:rsidR="00FA5191" w:rsidRPr="000648DF">
        <w:t>shall not exceed</w:t>
      </w:r>
      <w:r w:rsidRPr="000648DF">
        <w:t xml:space="preserve"> the </w:t>
      </w:r>
      <w:r w:rsidR="00230456" w:rsidRPr="000648DF">
        <w:t>maximum revenue</w:t>
      </w:r>
      <w:r w:rsidR="0030384B" w:rsidRPr="000648DF">
        <w:t xml:space="preserve"> as described in section B of the circular letter</w:t>
      </w:r>
      <w:r w:rsidR="0056201C" w:rsidRPr="000648DF">
        <w:t>,</w:t>
      </w:r>
      <w:r w:rsidR="0030384B" w:rsidRPr="000648DF">
        <w:t xml:space="preserve"> in particular points (vii) and (viii)</w:t>
      </w:r>
      <w:r w:rsidR="0056201C" w:rsidRPr="000648DF">
        <w:t xml:space="preserve"> of the subsection </w:t>
      </w:r>
      <w:r w:rsidR="00F641C3" w:rsidRPr="000648DF">
        <w:t>“</w:t>
      </w:r>
      <w:r w:rsidR="0056201C" w:rsidRPr="000648DF">
        <w:t>Conditions applicable to self-declared rates</w:t>
      </w:r>
      <w:r w:rsidR="00F641C3" w:rsidRPr="000648DF">
        <w:t>”</w:t>
      </w:r>
      <w:r w:rsidR="0056201C" w:rsidRPr="000648DF">
        <w:t>.</w:t>
      </w:r>
    </w:p>
    <w:p w14:paraId="13B055B2" w14:textId="0B27D2C5" w:rsidR="00957C85" w:rsidRPr="000648DF" w:rsidRDefault="00957C85" w:rsidP="000648DF">
      <w:pPr>
        <w:pStyle w:val="1Premierretrait"/>
        <w:spacing w:line="220" w:lineRule="atLeast"/>
      </w:pPr>
      <w:r w:rsidRPr="000648DF">
        <w:t xml:space="preserve">The self-declared rates shall comply with </w:t>
      </w:r>
      <w:r w:rsidR="009E3C35" w:rsidRPr="000648DF">
        <w:t>all</w:t>
      </w:r>
      <w:r w:rsidR="0056201C" w:rsidRPr="000648DF">
        <w:t xml:space="preserve"> the</w:t>
      </w:r>
      <w:r w:rsidR="009E3C35" w:rsidRPr="000648DF">
        <w:t xml:space="preserve"> conditions specified in</w:t>
      </w:r>
      <w:r w:rsidR="0056201C" w:rsidRPr="000648DF">
        <w:t xml:space="preserve"> Convention</w:t>
      </w:r>
      <w:r w:rsidRPr="000648DF">
        <w:t xml:space="preserve"> </w:t>
      </w:r>
      <w:r w:rsidR="0056201C" w:rsidRPr="000648DF">
        <w:t>a</w:t>
      </w:r>
      <w:r w:rsidRPr="000648DF">
        <w:t>rticle 33</w:t>
      </w:r>
      <w:r w:rsidR="0056201C" w:rsidRPr="000648DF">
        <w:t>.</w:t>
      </w:r>
      <w:r w:rsidRPr="000648DF">
        <w:t xml:space="preserve"> </w:t>
      </w:r>
    </w:p>
    <w:p w14:paraId="550C566E" w14:textId="1DBFD224" w:rsidR="003A33C5" w:rsidRPr="000648DF" w:rsidRDefault="00FA5191" w:rsidP="000648DF">
      <w:pPr>
        <w:pStyle w:val="1Premierretrait"/>
        <w:spacing w:line="220" w:lineRule="atLeast"/>
      </w:pPr>
      <w:r w:rsidRPr="000648DF">
        <w:t>In relation to the</w:t>
      </w:r>
      <w:r w:rsidR="003A33C5" w:rsidRPr="000648DF">
        <w:t xml:space="preserve"> </w:t>
      </w:r>
      <w:r w:rsidRPr="000648DF">
        <w:t>above</w:t>
      </w:r>
      <w:r w:rsidR="009F02C0" w:rsidRPr="000648DF">
        <w:t>-</w:t>
      </w:r>
      <w:r w:rsidRPr="000648DF">
        <w:t>mentioned domestic single</w:t>
      </w:r>
      <w:r w:rsidR="009F02C0" w:rsidRPr="000648DF">
        <w:t>-</w:t>
      </w:r>
      <w:r w:rsidRPr="000648DF">
        <w:t>piece tariffs</w:t>
      </w:r>
      <w:r w:rsidR="001B200E" w:rsidRPr="000648DF">
        <w:t>, they</w:t>
      </w:r>
      <w:r w:rsidRPr="000648DF">
        <w:t xml:space="preserve"> should be provided </w:t>
      </w:r>
      <w:r w:rsidR="001B200E" w:rsidRPr="000648DF">
        <w:t xml:space="preserve">indicating the </w:t>
      </w:r>
      <w:r w:rsidR="003A33C5" w:rsidRPr="000648DF">
        <w:t>VAT</w:t>
      </w:r>
      <w:r w:rsidRPr="000648DF">
        <w:t xml:space="preserve"> </w:t>
      </w:r>
      <w:r w:rsidR="001B200E" w:rsidRPr="000648DF">
        <w:t xml:space="preserve">rate </w:t>
      </w:r>
      <w:r w:rsidRPr="000648DF">
        <w:t>or other taxes</w:t>
      </w:r>
      <w:r w:rsidR="001B200E" w:rsidRPr="000648DF">
        <w:t xml:space="preserve"> included</w:t>
      </w:r>
      <w:r w:rsidR="003A33C5" w:rsidRPr="000648DF">
        <w:t xml:space="preserve">. </w:t>
      </w:r>
    </w:p>
    <w:p w14:paraId="555C9B71" w14:textId="55A4A7B1" w:rsidR="003A33C5" w:rsidRPr="000648DF" w:rsidRDefault="0056201C" w:rsidP="000648DF">
      <w:pPr>
        <w:pStyle w:val="1Premierretrait"/>
        <w:spacing w:line="220" w:lineRule="atLeast"/>
      </w:pPr>
      <w:r w:rsidRPr="000648DF">
        <w:t>It is important to c</w:t>
      </w:r>
      <w:r w:rsidR="00FA5191" w:rsidRPr="000648DF">
        <w:t xml:space="preserve">learly indicate </w:t>
      </w:r>
      <w:r w:rsidR="003A33C5" w:rsidRPr="000648DF">
        <w:t xml:space="preserve">whether the basic service </w:t>
      </w:r>
      <w:r w:rsidR="00FA5191" w:rsidRPr="000648DF">
        <w:t>for which the domestic tariff info</w:t>
      </w:r>
      <w:r w:rsidR="001B200E" w:rsidRPr="000648DF">
        <w:t>r</w:t>
      </w:r>
      <w:r w:rsidR="00FA5191" w:rsidRPr="000648DF">
        <w:t>matio</w:t>
      </w:r>
      <w:r w:rsidR="001B200E" w:rsidRPr="000648DF">
        <w:t>n</w:t>
      </w:r>
      <w:r w:rsidR="00FA5191" w:rsidRPr="000648DF">
        <w:t xml:space="preserve"> is provided </w:t>
      </w:r>
      <w:r w:rsidR="003A33C5" w:rsidRPr="000648DF">
        <w:t xml:space="preserve">includes </w:t>
      </w:r>
      <w:r w:rsidR="0029440B" w:rsidRPr="000648DF">
        <w:t>proof of delivery</w:t>
      </w:r>
      <w:r w:rsidR="00E33B43" w:rsidRPr="000648DF">
        <w:t xml:space="preserve"> (POD)</w:t>
      </w:r>
      <w:r w:rsidR="0029440B" w:rsidRPr="000648DF">
        <w:t xml:space="preserve"> in cases where domestic service without this feature is not offered</w:t>
      </w:r>
      <w:r w:rsidR="009F02C0" w:rsidRPr="000648DF">
        <w:t xml:space="preserve">. </w:t>
      </w:r>
      <w:r w:rsidRPr="000648DF">
        <w:t>T</w:t>
      </w:r>
      <w:r w:rsidR="003A33C5" w:rsidRPr="000648DF">
        <w:t>his information</w:t>
      </w:r>
      <w:r w:rsidRPr="000648DF">
        <w:t xml:space="preserve"> should be provided</w:t>
      </w:r>
      <w:r w:rsidR="00E33B43" w:rsidRPr="000648DF">
        <w:t xml:space="preserve"> </w:t>
      </w:r>
      <w:r w:rsidR="003A33C5" w:rsidRPr="000648DF">
        <w:t xml:space="preserve">for each of the </w:t>
      </w:r>
      <w:r w:rsidRPr="000648DF">
        <w:t>seven</w:t>
      </w:r>
      <w:r w:rsidR="009F02C0" w:rsidRPr="000648DF">
        <w:t xml:space="preserve"> </w:t>
      </w:r>
      <w:r w:rsidR="003A33C5" w:rsidRPr="000648DF">
        <w:t>weight increments separately</w:t>
      </w:r>
      <w:r w:rsidR="009F02C0" w:rsidRPr="000648DF">
        <w:t>.</w:t>
      </w:r>
    </w:p>
    <w:p w14:paraId="5CC42F6A" w14:textId="556D9F58" w:rsidR="003A33C5" w:rsidRPr="000648DF" w:rsidRDefault="003A33C5" w:rsidP="000648DF">
      <w:pPr>
        <w:pStyle w:val="1Premierretrait"/>
        <w:spacing w:line="220" w:lineRule="atLeast"/>
      </w:pPr>
      <w:r w:rsidRPr="000648DF">
        <w:t>A source for verification should be indicated in respect of all information provided. This verification source could be a publicly accessible website on which the tariff information and service specifications are clearly specified, information in product brochures, postal legislation or regulations, or written con</w:t>
      </w:r>
      <w:r w:rsidR="00671A0E" w:rsidRPr="000648DF">
        <w:softHyphen/>
      </w:r>
      <w:r w:rsidRPr="000648DF">
        <w:t>firmation by the regulator. The</w:t>
      </w:r>
      <w:r w:rsidR="00E33B43" w:rsidRPr="000648DF">
        <w:t xml:space="preserve"> UPU</w:t>
      </w:r>
      <w:r w:rsidRPr="000648DF">
        <w:t xml:space="preserve"> International Bureau will verify the information against the source provided</w:t>
      </w:r>
      <w:r w:rsidR="007E0555" w:rsidRPr="000648DF">
        <w:t>.</w:t>
      </w:r>
    </w:p>
    <w:p w14:paraId="7AE8848E" w14:textId="3D192668" w:rsidR="003A33C5" w:rsidRPr="00F641C3" w:rsidRDefault="003A33C5" w:rsidP="000648DF">
      <w:pPr>
        <w:pStyle w:val="0Textedebase"/>
        <w:spacing w:line="220" w:lineRule="atLeast"/>
      </w:pPr>
    </w:p>
    <w:p w14:paraId="417F5AAE" w14:textId="6986C83C" w:rsidR="00AB1169" w:rsidRPr="00F641C3" w:rsidRDefault="00AB1169" w:rsidP="000648DF">
      <w:pPr>
        <w:spacing w:line="220" w:lineRule="atLeast"/>
        <w:rPr>
          <w:b/>
          <w:bCs/>
        </w:rPr>
      </w:pPr>
    </w:p>
    <w:p w14:paraId="1D20DD78" w14:textId="43CA4329" w:rsidR="003A33C5" w:rsidRPr="00F641C3" w:rsidRDefault="003A33C5" w:rsidP="000648DF">
      <w:pPr>
        <w:pStyle w:val="0Textedebase"/>
        <w:spacing w:line="220" w:lineRule="atLeast"/>
        <w:rPr>
          <w:b/>
          <w:bCs/>
        </w:rPr>
      </w:pPr>
      <w:r w:rsidRPr="00F641C3">
        <w:rPr>
          <w:b/>
          <w:bCs/>
        </w:rPr>
        <w:t>Notification</w:t>
      </w:r>
    </w:p>
    <w:p w14:paraId="10DD081B" w14:textId="7FB0D884" w:rsidR="003A33C5" w:rsidRPr="00F641C3" w:rsidRDefault="003A33C5" w:rsidP="000648DF">
      <w:pPr>
        <w:pStyle w:val="0Textedebase"/>
        <w:spacing w:line="220" w:lineRule="atLeast"/>
      </w:pPr>
    </w:p>
    <w:p w14:paraId="0A8CC08A" w14:textId="4D2A5B1D" w:rsidR="003A33C5" w:rsidRPr="00F641C3" w:rsidRDefault="003A33C5" w:rsidP="000648DF">
      <w:pPr>
        <w:pStyle w:val="0Textedebase"/>
        <w:spacing w:line="220" w:lineRule="atLeast"/>
      </w:pPr>
      <w:r w:rsidRPr="00F641C3">
        <w:t>The self-declared rates (table</w:t>
      </w:r>
      <w:r w:rsidR="00893A00" w:rsidRPr="00F641C3">
        <w:t>s 1 and 2</w:t>
      </w:r>
      <w:r w:rsidRPr="00F641C3">
        <w:t xml:space="preserve">) </w:t>
      </w:r>
      <w:r w:rsidR="0065456D" w:rsidRPr="00F641C3">
        <w:t>must be provided in local currency or SDR;</w:t>
      </w:r>
      <w:r w:rsidR="00D76FFE" w:rsidRPr="00F641C3">
        <w:t xml:space="preserve"> </w:t>
      </w:r>
      <w:r w:rsidRPr="00F641C3">
        <w:t>the domestic tariff infor</w:t>
      </w:r>
      <w:r w:rsidR="00F641C3">
        <w:softHyphen/>
      </w:r>
      <w:r w:rsidRPr="00F641C3">
        <w:t xml:space="preserve">mation (tables </w:t>
      </w:r>
      <w:r w:rsidR="003A4D77" w:rsidRPr="00F641C3">
        <w:t>3</w:t>
      </w:r>
      <w:r w:rsidRPr="00F641C3">
        <w:t xml:space="preserve"> to 1</w:t>
      </w:r>
      <w:r w:rsidR="00893A00" w:rsidRPr="00F641C3">
        <w:t>0</w:t>
      </w:r>
      <w:r w:rsidRPr="00F641C3">
        <w:t>) must</w:t>
      </w:r>
      <w:r w:rsidR="005C4305" w:rsidRPr="00F641C3">
        <w:t xml:space="preserve"> be provided in local currency.</w:t>
      </w:r>
    </w:p>
    <w:p w14:paraId="54C3219C" w14:textId="77777777" w:rsidR="003A33C5" w:rsidRPr="00F641C3" w:rsidRDefault="003A33C5" w:rsidP="000648DF">
      <w:pPr>
        <w:pStyle w:val="0Textedebase"/>
        <w:spacing w:line="220" w:lineRule="atLeast"/>
      </w:pPr>
    </w:p>
    <w:p w14:paraId="5CED2F58" w14:textId="609DF42D" w:rsidR="003A33C5" w:rsidRPr="00F641C3" w:rsidRDefault="003A33C5" w:rsidP="000648DF">
      <w:pPr>
        <w:pStyle w:val="0Textedebase"/>
        <w:tabs>
          <w:tab w:val="right" w:pos="9631"/>
        </w:tabs>
        <w:spacing w:line="220" w:lineRule="atLeast"/>
      </w:pPr>
      <w:r w:rsidRPr="00F641C3">
        <w:t>Local currency used for the purpose of this notification:</w:t>
      </w:r>
      <w:r w:rsidR="007A71CA" w:rsidRPr="00F641C3">
        <w:rPr>
          <w:u w:val="single"/>
        </w:rPr>
        <w:tab/>
      </w:r>
    </w:p>
    <w:p w14:paraId="123E1C5C" w14:textId="77777777" w:rsidR="007A71CA" w:rsidRPr="00F641C3" w:rsidRDefault="007A71CA" w:rsidP="000648DF">
      <w:pPr>
        <w:pStyle w:val="0Textedebase"/>
        <w:spacing w:line="220" w:lineRule="atLeast"/>
      </w:pPr>
    </w:p>
    <w:p w14:paraId="77A8830E" w14:textId="4A3E159A" w:rsidR="003A33C5" w:rsidRPr="00F641C3" w:rsidRDefault="003A33C5" w:rsidP="000648DF">
      <w:pPr>
        <w:pStyle w:val="0Textedebase"/>
        <w:spacing w:line="220" w:lineRule="atLeast"/>
        <w:rPr>
          <w:i/>
          <w:iCs/>
        </w:rPr>
      </w:pPr>
      <w:r w:rsidRPr="00F641C3">
        <w:rPr>
          <w:i/>
          <w:iCs/>
        </w:rPr>
        <w:t xml:space="preserve">Table 1 – Self-declared rates for </w:t>
      </w:r>
      <w:r w:rsidR="00E774D5" w:rsidRPr="00F641C3">
        <w:rPr>
          <w:i/>
          <w:iCs/>
        </w:rPr>
        <w:t>parcels</w:t>
      </w:r>
      <w:r w:rsidRPr="00F641C3">
        <w:rPr>
          <w:i/>
          <w:iCs/>
        </w:rPr>
        <w:t>, exclusive of any taxes, expressed in l</w:t>
      </w:r>
      <w:r w:rsidR="005C4305" w:rsidRPr="00F641C3">
        <w:rPr>
          <w:i/>
          <w:iCs/>
        </w:rPr>
        <w:t>ocal currency</w:t>
      </w:r>
      <w:r w:rsidR="00D30D17" w:rsidRPr="00F641C3">
        <w:rPr>
          <w:i/>
          <w:iCs/>
        </w:rPr>
        <w:t xml:space="preserve"> or SDR</w:t>
      </w:r>
      <w:r w:rsidR="005C4305" w:rsidRPr="00F641C3">
        <w:rPr>
          <w:i/>
          <w:iCs/>
        </w:rPr>
        <w:t xml:space="preserve"> for inbound flows</w:t>
      </w:r>
    </w:p>
    <w:p w14:paraId="75EF6485" w14:textId="77777777" w:rsidR="00671A0E" w:rsidRPr="00F641C3" w:rsidRDefault="00671A0E" w:rsidP="000648DF">
      <w:pPr>
        <w:pStyle w:val="0Textedebase"/>
        <w:spacing w:line="220" w:lineRule="atLeast"/>
        <w:rPr>
          <w:i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E774D5" w:rsidRPr="00F641C3" w14:paraId="342F1828" w14:textId="77777777" w:rsidTr="00840AFA">
        <w:trPr>
          <w:trHeight w:val="20"/>
        </w:trPr>
        <w:tc>
          <w:tcPr>
            <w:tcW w:w="2500" w:type="pct"/>
            <w:tcBorders>
              <w:bottom w:val="single" w:sz="4" w:space="0" w:color="auto"/>
            </w:tcBorders>
          </w:tcPr>
          <w:p w14:paraId="2361EC91" w14:textId="77777777" w:rsidR="00E774D5" w:rsidRPr="00F641C3" w:rsidRDefault="00E774D5" w:rsidP="000648DF">
            <w:pPr>
              <w:spacing w:before="60" w:after="60" w:line="220" w:lineRule="atLeast"/>
            </w:pPr>
            <w:r w:rsidRPr="00F641C3">
              <w:t xml:space="preserve">Self-declared per-item rate 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7EBD3AEF" w14:textId="77777777" w:rsidR="00E774D5" w:rsidRPr="00F641C3" w:rsidRDefault="00E774D5" w:rsidP="000648DF">
            <w:pPr>
              <w:spacing w:before="60" w:after="60" w:line="220" w:lineRule="atLeast"/>
            </w:pPr>
          </w:p>
        </w:tc>
      </w:tr>
      <w:tr w:rsidR="00E774D5" w:rsidRPr="00F641C3" w14:paraId="450DCE50" w14:textId="77777777" w:rsidTr="00840AFA">
        <w:trPr>
          <w:trHeight w:val="20"/>
        </w:trPr>
        <w:tc>
          <w:tcPr>
            <w:tcW w:w="2500" w:type="pct"/>
          </w:tcPr>
          <w:p w14:paraId="4BEE46A3" w14:textId="77777777" w:rsidR="00E774D5" w:rsidRPr="00F641C3" w:rsidRDefault="00E774D5" w:rsidP="000648DF">
            <w:pPr>
              <w:spacing w:before="60" w:after="60" w:line="220" w:lineRule="atLeast"/>
            </w:pPr>
            <w:r w:rsidRPr="00F641C3">
              <w:t xml:space="preserve">Self-declared per-kilogramme rate </w:t>
            </w:r>
          </w:p>
        </w:tc>
        <w:tc>
          <w:tcPr>
            <w:tcW w:w="2500" w:type="pct"/>
          </w:tcPr>
          <w:p w14:paraId="0F18C325" w14:textId="77777777" w:rsidR="00E774D5" w:rsidRPr="00F641C3" w:rsidRDefault="00E774D5" w:rsidP="000648DF">
            <w:pPr>
              <w:spacing w:before="60" w:after="60" w:line="220" w:lineRule="atLeast"/>
            </w:pPr>
          </w:p>
        </w:tc>
      </w:tr>
      <w:tr w:rsidR="00E774D5" w:rsidRPr="00F641C3" w14:paraId="5F62FF63" w14:textId="77777777" w:rsidTr="00840AFA">
        <w:trPr>
          <w:trHeight w:val="20"/>
        </w:trPr>
        <w:tc>
          <w:tcPr>
            <w:tcW w:w="2500" w:type="pct"/>
            <w:tcBorders>
              <w:bottom w:val="single" w:sz="4" w:space="0" w:color="auto"/>
            </w:tcBorders>
          </w:tcPr>
          <w:p w14:paraId="0505E2DD" w14:textId="525666AD" w:rsidR="00E774D5" w:rsidRPr="00F641C3" w:rsidRDefault="00E774D5" w:rsidP="000648DF">
            <w:pPr>
              <w:spacing w:before="60" w:after="60" w:line="220" w:lineRule="atLeast"/>
            </w:pPr>
            <w:r w:rsidRPr="00F641C3">
              <w:rPr>
                <w:i/>
                <w:iCs/>
              </w:rPr>
              <w:t>Currency (local currency or SDR)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4DDCEEE8" w14:textId="77777777" w:rsidR="00E774D5" w:rsidRPr="00F641C3" w:rsidRDefault="00E774D5" w:rsidP="000648DF">
            <w:pPr>
              <w:spacing w:before="60" w:after="60" w:line="220" w:lineRule="atLeast"/>
            </w:pPr>
          </w:p>
        </w:tc>
      </w:tr>
    </w:tbl>
    <w:p w14:paraId="566D4692" w14:textId="07E48317" w:rsidR="003A33C5" w:rsidRPr="00F641C3" w:rsidRDefault="003A33C5" w:rsidP="000648DF">
      <w:pPr>
        <w:pStyle w:val="0Textedebase"/>
        <w:spacing w:line="220" w:lineRule="atLeast"/>
      </w:pPr>
    </w:p>
    <w:p w14:paraId="0DA31294" w14:textId="77777777" w:rsidR="000648DF" w:rsidRPr="000648DF" w:rsidRDefault="005120F9" w:rsidP="000648DF">
      <w:pPr>
        <w:pStyle w:val="0Textedebase"/>
        <w:spacing w:line="220" w:lineRule="atLeast"/>
      </w:pPr>
      <w:r w:rsidRPr="000648DF">
        <w:t xml:space="preserve">Applicable only to </w:t>
      </w:r>
      <w:r w:rsidR="00E33B43" w:rsidRPr="000648DF">
        <w:t xml:space="preserve">DOs </w:t>
      </w:r>
      <w:r w:rsidRPr="000648DF">
        <w:t xml:space="preserve">of countries classified in </w:t>
      </w:r>
      <w:r w:rsidR="00E33B43" w:rsidRPr="000648DF">
        <w:t>g</w:t>
      </w:r>
      <w:r w:rsidRPr="000648DF">
        <w:t>roup C</w:t>
      </w:r>
      <w:r w:rsidR="000648DF" w:rsidRPr="000648DF">
        <w:t xml:space="preserve">: </w:t>
      </w:r>
      <w:r w:rsidRPr="000648DF">
        <w:t xml:space="preserve">Do you wish to substitute the maximum revenue with the per-parcel and per-kilogramme base rates of the year 2026 (inward land rates), further increased by 40% and subsequently reduced by 1.200 SDR per parcel? </w:t>
      </w:r>
      <w:r w:rsidR="000648DF" w:rsidRPr="000648DF">
        <w:t>If “Yes” is selected, a determination by the competent authority confirming that domestic parcel tariffs are not set in relation to costs must be submitted together with this notification.</w:t>
      </w:r>
    </w:p>
    <w:p w14:paraId="4153AC05" w14:textId="77777777" w:rsidR="001F1C20" w:rsidRPr="00F641C3" w:rsidRDefault="001F1C20" w:rsidP="000648DF">
      <w:pPr>
        <w:spacing w:before="120" w:line="220" w:lineRule="atLeast"/>
        <w:ind w:left="567" w:hanging="567"/>
        <w:rPr>
          <w:rFonts w:cs="Arial"/>
        </w:rPr>
      </w:pPr>
      <w:r w:rsidRPr="00F641C3">
        <w:rPr>
          <w:rFonts w:cs="Arial"/>
          <w:sz w:val="24"/>
          <w:szCs w:val="24"/>
        </w:rPr>
        <w:sym w:font="Wingdings" w:char="F072"/>
      </w:r>
      <w:r w:rsidRPr="00F641C3">
        <w:rPr>
          <w:rFonts w:cs="Arial"/>
          <w:sz w:val="24"/>
          <w:szCs w:val="24"/>
        </w:rPr>
        <w:tab/>
      </w:r>
      <w:r w:rsidRPr="00F641C3">
        <w:rPr>
          <w:rFonts w:cs="Arial"/>
        </w:rPr>
        <w:t>Yes (the remaining tables of this questionnaire must still be completed)</w:t>
      </w:r>
    </w:p>
    <w:p w14:paraId="41FB167B" w14:textId="77777777" w:rsidR="001F1C20" w:rsidRPr="00F641C3" w:rsidRDefault="001F1C20" w:rsidP="000648DF">
      <w:pPr>
        <w:pStyle w:val="0Textedebase"/>
        <w:spacing w:before="120" w:line="220" w:lineRule="atLeast"/>
        <w:ind w:left="567" w:hanging="567"/>
      </w:pPr>
      <w:r w:rsidRPr="00F641C3">
        <w:rPr>
          <w:rFonts w:cs="Arial"/>
          <w:sz w:val="24"/>
          <w:szCs w:val="24"/>
        </w:rPr>
        <w:sym w:font="Wingdings" w:char="F072"/>
      </w:r>
      <w:r w:rsidRPr="00F641C3">
        <w:rPr>
          <w:rFonts w:cs="Arial"/>
          <w:sz w:val="24"/>
          <w:szCs w:val="24"/>
        </w:rPr>
        <w:tab/>
      </w:r>
      <w:r w:rsidRPr="00F641C3">
        <w:rPr>
          <w:rFonts w:cs="Arial"/>
        </w:rPr>
        <w:t>No</w:t>
      </w:r>
    </w:p>
    <w:p w14:paraId="028C2B72" w14:textId="77777777" w:rsidR="001F1C20" w:rsidRPr="00F641C3" w:rsidRDefault="001F1C20" w:rsidP="000648DF">
      <w:pPr>
        <w:pStyle w:val="0Textedebase"/>
        <w:spacing w:line="220" w:lineRule="atLeast"/>
      </w:pPr>
    </w:p>
    <w:p w14:paraId="1385205B" w14:textId="34A13BBC" w:rsidR="003A4D77" w:rsidRPr="00F641C3" w:rsidRDefault="003A4D77" w:rsidP="000648DF">
      <w:pPr>
        <w:pStyle w:val="0Textedebase"/>
        <w:spacing w:line="220" w:lineRule="atLeast"/>
        <w:rPr>
          <w:i/>
          <w:iCs/>
        </w:rPr>
      </w:pPr>
      <w:r w:rsidRPr="00F641C3">
        <w:rPr>
          <w:i/>
          <w:iCs/>
        </w:rPr>
        <w:t xml:space="preserve">Table </w:t>
      </w:r>
      <w:r w:rsidR="00893A00" w:rsidRPr="00F641C3">
        <w:rPr>
          <w:i/>
          <w:iCs/>
        </w:rPr>
        <w:t>2</w:t>
      </w:r>
      <w:r w:rsidRPr="00F641C3">
        <w:rPr>
          <w:i/>
          <w:iCs/>
        </w:rPr>
        <w:t xml:space="preserve"> – Self-declared </w:t>
      </w:r>
      <w:r w:rsidR="00893A00" w:rsidRPr="00F641C3">
        <w:rPr>
          <w:i/>
          <w:iCs/>
        </w:rPr>
        <w:t>supplementary rates for parcel delivery in non-contiguous zones</w:t>
      </w:r>
      <w:r w:rsidRPr="00F641C3">
        <w:rPr>
          <w:i/>
          <w:iCs/>
        </w:rPr>
        <w:t>, exclusive of any taxes, expressed in local currency or SDR for inbound flows</w:t>
      </w:r>
      <w:r w:rsidR="00893A00" w:rsidRPr="00F641C3">
        <w:rPr>
          <w:rStyle w:val="FootnoteReference"/>
        </w:rPr>
        <w:footnoteReference w:id="2"/>
      </w:r>
    </w:p>
    <w:p w14:paraId="7536FED9" w14:textId="77777777" w:rsidR="003A4D77" w:rsidRPr="00F641C3" w:rsidRDefault="003A4D77" w:rsidP="000648DF">
      <w:pPr>
        <w:pStyle w:val="0Textedebase"/>
        <w:spacing w:line="220" w:lineRule="atLeast"/>
        <w:rPr>
          <w:i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26"/>
        <w:gridCol w:w="1926"/>
        <w:gridCol w:w="1927"/>
        <w:gridCol w:w="1927"/>
        <w:gridCol w:w="1927"/>
      </w:tblGrid>
      <w:tr w:rsidR="006D10F5" w:rsidRPr="00F641C3" w14:paraId="5481B79C" w14:textId="2ED07DA3" w:rsidTr="001F1C20">
        <w:trPr>
          <w:trHeight w:val="20"/>
        </w:trPr>
        <w:tc>
          <w:tcPr>
            <w:tcW w:w="1000" w:type="pct"/>
            <w:tcBorders>
              <w:top w:val="nil"/>
              <w:left w:val="nil"/>
              <w:bottom w:val="single" w:sz="4" w:space="0" w:color="auto"/>
            </w:tcBorders>
          </w:tcPr>
          <w:p w14:paraId="431CF98B" w14:textId="77777777" w:rsidR="006D10F5" w:rsidRPr="00F641C3" w:rsidRDefault="006D10F5" w:rsidP="000648DF">
            <w:pPr>
              <w:spacing w:before="60" w:after="60" w:line="220" w:lineRule="atLeast"/>
              <w:rPr>
                <w:i/>
                <w:i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CC99B" w14:textId="3250B871" w:rsidR="006D10F5" w:rsidRPr="00F641C3" w:rsidRDefault="006D10F5" w:rsidP="000648DF">
            <w:pPr>
              <w:spacing w:before="60" w:after="60" w:line="220" w:lineRule="atLeast"/>
              <w:rPr>
                <w:i/>
                <w:iCs/>
              </w:rPr>
            </w:pPr>
            <w:r w:rsidRPr="00F641C3">
              <w:rPr>
                <w:i/>
                <w:iCs/>
              </w:rPr>
              <w:t>Zone name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6F5B2" w14:textId="4909E96C" w:rsidR="006D10F5" w:rsidRPr="00F641C3" w:rsidRDefault="006D10F5" w:rsidP="000648DF">
            <w:pPr>
              <w:spacing w:before="60" w:after="60" w:line="220" w:lineRule="atLeast"/>
              <w:rPr>
                <w:i/>
                <w:iCs/>
              </w:rPr>
            </w:pPr>
            <w:r w:rsidRPr="00F641C3">
              <w:rPr>
                <w:i/>
                <w:iCs/>
              </w:rPr>
              <w:t>Self-declared supplementary rate per item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99E2F19" w14:textId="11F1C9CA" w:rsidR="006D10F5" w:rsidRPr="00F641C3" w:rsidRDefault="006D10F5" w:rsidP="000648DF">
            <w:pPr>
              <w:spacing w:before="60" w:after="60" w:line="220" w:lineRule="atLeast"/>
              <w:rPr>
                <w:i/>
                <w:iCs/>
              </w:rPr>
            </w:pPr>
            <w:r w:rsidRPr="00F641C3">
              <w:rPr>
                <w:i/>
                <w:iCs/>
              </w:rPr>
              <w:t>Currency (local currency or SDR)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0F70B142" w14:textId="47318462" w:rsidR="006D10F5" w:rsidRPr="00F641C3" w:rsidRDefault="006D10F5" w:rsidP="000648DF">
            <w:pPr>
              <w:spacing w:before="60" w:after="60" w:line="220" w:lineRule="atLeast"/>
              <w:rPr>
                <w:i/>
                <w:iCs/>
              </w:rPr>
            </w:pPr>
            <w:r w:rsidRPr="00F641C3">
              <w:rPr>
                <w:i/>
                <w:iCs/>
              </w:rPr>
              <w:t>Postcode range defining the delivery zone</w:t>
            </w:r>
          </w:p>
        </w:tc>
      </w:tr>
      <w:tr w:rsidR="006D10F5" w:rsidRPr="00F641C3" w14:paraId="1DDFBAA8" w14:textId="714CD8B0" w:rsidTr="001F1C20">
        <w:trPr>
          <w:trHeight w:val="20"/>
        </w:trPr>
        <w:tc>
          <w:tcPr>
            <w:tcW w:w="1000" w:type="pct"/>
            <w:tcBorders>
              <w:bottom w:val="single" w:sz="4" w:space="0" w:color="auto"/>
            </w:tcBorders>
          </w:tcPr>
          <w:p w14:paraId="59DBC916" w14:textId="655BF141" w:rsidR="006D10F5" w:rsidRPr="00F641C3" w:rsidRDefault="006D10F5" w:rsidP="000648DF">
            <w:pPr>
              <w:spacing w:before="60" w:after="60" w:line="220" w:lineRule="atLeast"/>
            </w:pPr>
            <w:r w:rsidRPr="00F641C3">
              <w:t>Zone 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6D98F1E2" w14:textId="77777777" w:rsidR="006D10F5" w:rsidRPr="00F641C3" w:rsidRDefault="006D10F5" w:rsidP="000648DF">
            <w:pPr>
              <w:spacing w:before="60" w:after="60" w:line="220" w:lineRule="atLeast"/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5FBE2D61" w14:textId="3AFF4222" w:rsidR="006D10F5" w:rsidRPr="00F641C3" w:rsidRDefault="006D10F5" w:rsidP="000648DF">
            <w:pPr>
              <w:spacing w:before="60" w:after="60" w:line="220" w:lineRule="atLeast"/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6BC563DF" w14:textId="77777777" w:rsidR="006D10F5" w:rsidRPr="00F641C3" w:rsidRDefault="006D10F5" w:rsidP="000648DF">
            <w:pPr>
              <w:spacing w:before="60" w:after="60" w:line="220" w:lineRule="atLeast"/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C21BC1E" w14:textId="77777777" w:rsidR="006D10F5" w:rsidRPr="00F641C3" w:rsidRDefault="006D10F5" w:rsidP="000648DF">
            <w:pPr>
              <w:spacing w:before="60" w:after="60" w:line="220" w:lineRule="atLeast"/>
            </w:pPr>
          </w:p>
        </w:tc>
      </w:tr>
      <w:tr w:rsidR="006D10F5" w:rsidRPr="00F641C3" w14:paraId="6C4D9423" w14:textId="253A9F32" w:rsidTr="001F1C20">
        <w:trPr>
          <w:trHeight w:val="20"/>
        </w:trPr>
        <w:tc>
          <w:tcPr>
            <w:tcW w:w="1000" w:type="pct"/>
          </w:tcPr>
          <w:p w14:paraId="2B087F65" w14:textId="32A9C611" w:rsidR="006D10F5" w:rsidRPr="00F641C3" w:rsidRDefault="006D10F5" w:rsidP="000648DF">
            <w:pPr>
              <w:spacing w:before="60" w:after="60" w:line="220" w:lineRule="atLeast"/>
            </w:pPr>
            <w:r w:rsidRPr="00F641C3">
              <w:t>Zone 2</w:t>
            </w:r>
          </w:p>
        </w:tc>
        <w:tc>
          <w:tcPr>
            <w:tcW w:w="1000" w:type="pct"/>
          </w:tcPr>
          <w:p w14:paraId="33BC9C30" w14:textId="77777777" w:rsidR="006D10F5" w:rsidRPr="00F641C3" w:rsidRDefault="006D10F5" w:rsidP="000648DF">
            <w:pPr>
              <w:spacing w:before="60" w:after="60" w:line="220" w:lineRule="atLeast"/>
            </w:pPr>
          </w:p>
        </w:tc>
        <w:tc>
          <w:tcPr>
            <w:tcW w:w="1000" w:type="pct"/>
          </w:tcPr>
          <w:p w14:paraId="000C20A9" w14:textId="1F845BA5" w:rsidR="006D10F5" w:rsidRPr="00F641C3" w:rsidRDefault="006D10F5" w:rsidP="000648DF">
            <w:pPr>
              <w:spacing w:before="60" w:after="60" w:line="220" w:lineRule="atLeast"/>
            </w:pPr>
          </w:p>
        </w:tc>
        <w:tc>
          <w:tcPr>
            <w:tcW w:w="1000" w:type="pct"/>
          </w:tcPr>
          <w:p w14:paraId="1244DC8F" w14:textId="77777777" w:rsidR="006D10F5" w:rsidRPr="00F641C3" w:rsidRDefault="006D10F5" w:rsidP="000648DF">
            <w:pPr>
              <w:spacing w:before="60" w:after="60" w:line="220" w:lineRule="atLeast"/>
            </w:pPr>
          </w:p>
        </w:tc>
        <w:tc>
          <w:tcPr>
            <w:tcW w:w="1000" w:type="pct"/>
          </w:tcPr>
          <w:p w14:paraId="54FA01E7" w14:textId="77777777" w:rsidR="006D10F5" w:rsidRPr="00F641C3" w:rsidRDefault="006D10F5" w:rsidP="000648DF">
            <w:pPr>
              <w:spacing w:before="60" w:after="60" w:line="220" w:lineRule="atLeast"/>
            </w:pPr>
          </w:p>
        </w:tc>
      </w:tr>
      <w:tr w:rsidR="006D10F5" w:rsidRPr="00F641C3" w14:paraId="65674B8A" w14:textId="1627D25D" w:rsidTr="001F1C20">
        <w:trPr>
          <w:trHeight w:val="20"/>
        </w:trPr>
        <w:tc>
          <w:tcPr>
            <w:tcW w:w="1000" w:type="pct"/>
            <w:tcBorders>
              <w:bottom w:val="single" w:sz="4" w:space="0" w:color="auto"/>
            </w:tcBorders>
          </w:tcPr>
          <w:p w14:paraId="7738EB03" w14:textId="4D1F30E0" w:rsidR="006D10F5" w:rsidRPr="00F641C3" w:rsidRDefault="006D10F5" w:rsidP="000648DF">
            <w:pPr>
              <w:spacing w:before="60" w:after="60" w:line="220" w:lineRule="atLeast"/>
            </w:pPr>
            <w:r w:rsidRPr="00F641C3">
              <w:t>Zone 3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C219D87" w14:textId="77777777" w:rsidR="006D10F5" w:rsidRPr="00F641C3" w:rsidRDefault="006D10F5" w:rsidP="000648DF">
            <w:pPr>
              <w:spacing w:before="60" w:after="60" w:line="220" w:lineRule="atLeast"/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5D9CDA15" w14:textId="65C0AFB5" w:rsidR="006D10F5" w:rsidRPr="00F641C3" w:rsidRDefault="006D10F5" w:rsidP="000648DF">
            <w:pPr>
              <w:spacing w:before="60" w:after="60" w:line="220" w:lineRule="atLeast"/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597B850E" w14:textId="77777777" w:rsidR="006D10F5" w:rsidRPr="00F641C3" w:rsidRDefault="006D10F5" w:rsidP="000648DF">
            <w:pPr>
              <w:spacing w:before="60" w:after="60" w:line="220" w:lineRule="atLeast"/>
            </w:pP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0BDEC4A" w14:textId="77777777" w:rsidR="006D10F5" w:rsidRPr="00F641C3" w:rsidRDefault="006D10F5" w:rsidP="000648DF">
            <w:pPr>
              <w:spacing w:before="60" w:after="60" w:line="220" w:lineRule="atLeast"/>
            </w:pPr>
          </w:p>
        </w:tc>
      </w:tr>
    </w:tbl>
    <w:p w14:paraId="220FB7F4" w14:textId="58A74663" w:rsidR="0095297F" w:rsidRPr="00F641C3" w:rsidRDefault="0095297F" w:rsidP="000648DF">
      <w:pPr>
        <w:pStyle w:val="0Textedebase"/>
      </w:pPr>
      <w:r w:rsidRPr="00F641C3">
        <w:lastRenderedPageBreak/>
        <w:t xml:space="preserve">If POD is available in your domestic offering as an add-on service, please indicate the applicable surcharge </w:t>
      </w:r>
      <w:r w:rsidRPr="00F641C3">
        <w:rPr>
          <w:i/>
          <w:iCs/>
        </w:rPr>
        <w:t>in local currency</w:t>
      </w:r>
      <w:r w:rsidRPr="00F641C3">
        <w:t xml:space="preserve"> in </w:t>
      </w:r>
      <w:r w:rsidR="00E33B43" w:rsidRPr="00F641C3">
        <w:t>t</w:t>
      </w:r>
      <w:r w:rsidRPr="00F641C3">
        <w:t>able 2.</w:t>
      </w:r>
    </w:p>
    <w:p w14:paraId="319424A0" w14:textId="77777777" w:rsidR="0095297F" w:rsidRPr="00F641C3" w:rsidRDefault="0095297F" w:rsidP="000648DF">
      <w:pPr>
        <w:pStyle w:val="0Textedebase"/>
        <w:rPr>
          <w:i/>
          <w:iCs/>
        </w:rPr>
      </w:pPr>
    </w:p>
    <w:p w14:paraId="42C8A93B" w14:textId="44478D10" w:rsidR="0095297F" w:rsidRPr="00F641C3" w:rsidRDefault="0095297F" w:rsidP="000648DF">
      <w:pPr>
        <w:pStyle w:val="0Textedebase"/>
        <w:rPr>
          <w:i/>
          <w:iCs/>
        </w:rPr>
      </w:pPr>
      <w:r w:rsidRPr="00F641C3">
        <w:rPr>
          <w:i/>
          <w:iCs/>
        </w:rPr>
        <w:t xml:space="preserve">Table </w:t>
      </w:r>
      <w:r w:rsidR="00893A00" w:rsidRPr="00F641C3">
        <w:rPr>
          <w:i/>
          <w:iCs/>
        </w:rPr>
        <w:t>3</w:t>
      </w:r>
      <w:r w:rsidRPr="00F641C3">
        <w:rPr>
          <w:i/>
          <w:iCs/>
        </w:rPr>
        <w:t xml:space="preserve"> – Domestic proof of delivery surcharge</w:t>
      </w:r>
    </w:p>
    <w:p w14:paraId="27111D9E" w14:textId="77777777" w:rsidR="0095297F" w:rsidRPr="00F641C3" w:rsidRDefault="0095297F" w:rsidP="000648DF">
      <w:pPr>
        <w:pStyle w:val="0Textedebase"/>
        <w:rPr>
          <w:i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95297F" w:rsidRPr="00F641C3" w14:paraId="59D20ED6" w14:textId="77777777" w:rsidTr="00FC2182">
        <w:trPr>
          <w:trHeight w:val="20"/>
        </w:trPr>
        <w:tc>
          <w:tcPr>
            <w:tcW w:w="2500" w:type="pct"/>
            <w:tcBorders>
              <w:bottom w:val="single" w:sz="4" w:space="0" w:color="auto"/>
            </w:tcBorders>
          </w:tcPr>
          <w:p w14:paraId="56AA006D" w14:textId="244430EA" w:rsidR="0095297F" w:rsidRPr="00F641C3" w:rsidRDefault="0095297F" w:rsidP="000648DF">
            <w:pPr>
              <w:spacing w:before="60" w:after="60"/>
            </w:pPr>
            <w:r w:rsidRPr="00F641C3">
              <w:t>Rate per</w:t>
            </w:r>
            <w:r w:rsidR="00E33B43" w:rsidRPr="00F641C3">
              <w:t xml:space="preserve"> </w:t>
            </w:r>
            <w:r w:rsidRPr="00F641C3">
              <w:t>item (in local currency)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52DF411E" w14:textId="77777777" w:rsidR="0095297F" w:rsidRPr="00F641C3" w:rsidRDefault="0095297F" w:rsidP="000648DF">
            <w:pPr>
              <w:spacing w:before="60" w:after="60"/>
            </w:pPr>
          </w:p>
        </w:tc>
      </w:tr>
    </w:tbl>
    <w:p w14:paraId="6001F226" w14:textId="0C0B950B" w:rsidR="0095297F" w:rsidRPr="00F641C3" w:rsidRDefault="0095297F" w:rsidP="000648DF">
      <w:pPr>
        <w:pStyle w:val="0Textedebase"/>
      </w:pPr>
    </w:p>
    <w:p w14:paraId="6268FFD2" w14:textId="577E1740" w:rsidR="00234621" w:rsidRPr="00F641C3" w:rsidRDefault="003A33C5" w:rsidP="000648DF">
      <w:pPr>
        <w:rPr>
          <w:i/>
          <w:iCs/>
        </w:rPr>
      </w:pPr>
      <w:r w:rsidRPr="00F641C3">
        <w:rPr>
          <w:i/>
          <w:iCs/>
        </w:rPr>
        <w:t xml:space="preserve">Table </w:t>
      </w:r>
      <w:r w:rsidR="00893A00" w:rsidRPr="00F641C3">
        <w:rPr>
          <w:i/>
          <w:iCs/>
        </w:rPr>
        <w:t>4</w:t>
      </w:r>
      <w:r w:rsidRPr="00F641C3">
        <w:rPr>
          <w:i/>
          <w:iCs/>
        </w:rPr>
        <w:t xml:space="preserve"> – Domestic tariff for a </w:t>
      </w:r>
      <w:r w:rsidR="0095297F" w:rsidRPr="00F641C3">
        <w:rPr>
          <w:i/>
          <w:iCs/>
        </w:rPr>
        <w:t>250</w:t>
      </w:r>
      <w:r w:rsidRPr="00F641C3">
        <w:rPr>
          <w:i/>
          <w:iCs/>
        </w:rPr>
        <w:t xml:space="preserve">-gramme </w:t>
      </w:r>
      <w:r w:rsidR="0095297F" w:rsidRPr="00F641C3">
        <w:rPr>
          <w:i/>
          <w:iCs/>
        </w:rPr>
        <w:t>parcel</w:t>
      </w:r>
      <w:r w:rsidRPr="00F641C3">
        <w:rPr>
          <w:i/>
          <w:iCs/>
        </w:rPr>
        <w:t xml:space="preserve"> in the domestic service</w:t>
      </w:r>
      <w:r w:rsidR="00FA5191" w:rsidRPr="00F641C3">
        <w:rPr>
          <w:i/>
          <w:iCs/>
        </w:rPr>
        <w:t xml:space="preserve">, in effect on 1 </w:t>
      </w:r>
      <w:r w:rsidR="00476057" w:rsidRPr="00F641C3">
        <w:rPr>
          <w:i/>
          <w:iCs/>
        </w:rPr>
        <w:t>May 202</w:t>
      </w:r>
      <w:r w:rsidR="00E23350" w:rsidRPr="00F641C3">
        <w:rPr>
          <w:i/>
          <w:iCs/>
        </w:rPr>
        <w:t>6</w:t>
      </w:r>
    </w:p>
    <w:p w14:paraId="4DC44674" w14:textId="77777777" w:rsidR="00671A0E" w:rsidRPr="00F641C3" w:rsidRDefault="00671A0E" w:rsidP="000648DF">
      <w:pPr>
        <w:pStyle w:val="0Textedebase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1F020C" w:rsidRPr="00F641C3" w14:paraId="01839F94" w14:textId="77777777" w:rsidTr="00FC2182">
        <w:tc>
          <w:tcPr>
            <w:tcW w:w="2500" w:type="pct"/>
            <w:shd w:val="clear" w:color="auto" w:fill="auto"/>
          </w:tcPr>
          <w:p w14:paraId="712B03A9" w14:textId="4E64CC58" w:rsidR="003A33C5" w:rsidRPr="00F641C3" w:rsidRDefault="003A33C5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does not apply (in local currency)</w:t>
            </w:r>
          </w:p>
        </w:tc>
        <w:tc>
          <w:tcPr>
            <w:tcW w:w="2500" w:type="pct"/>
            <w:shd w:val="clear" w:color="auto" w:fill="auto"/>
          </w:tcPr>
          <w:p w14:paraId="1A386B93" w14:textId="77777777" w:rsidR="003A33C5" w:rsidRPr="00F641C3" w:rsidRDefault="003A33C5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1F020C" w:rsidRPr="00F641C3" w14:paraId="0911DFE9" w14:textId="77777777" w:rsidTr="00FC2182">
        <w:tc>
          <w:tcPr>
            <w:tcW w:w="2500" w:type="pct"/>
            <w:shd w:val="clear" w:color="auto" w:fill="auto"/>
          </w:tcPr>
          <w:p w14:paraId="318D9495" w14:textId="2B2E0A46" w:rsidR="003A33C5" w:rsidRPr="00F641C3" w:rsidRDefault="003A33C5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applies</w:t>
            </w:r>
            <w:r w:rsidR="00145CCB" w:rsidRPr="00F641C3">
              <w:rPr>
                <w:rFonts w:cs="Arial"/>
              </w:rPr>
              <w:t xml:space="preserve"> (in local currency)</w:t>
            </w:r>
          </w:p>
        </w:tc>
        <w:tc>
          <w:tcPr>
            <w:tcW w:w="2500" w:type="pct"/>
            <w:shd w:val="clear" w:color="auto" w:fill="auto"/>
          </w:tcPr>
          <w:p w14:paraId="1F89EB3A" w14:textId="77777777" w:rsidR="003A33C5" w:rsidRPr="00F641C3" w:rsidRDefault="003A33C5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893FAF" w:rsidRPr="00F641C3" w14:paraId="567E3053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A296" w14:textId="2B3868DC" w:rsidR="00893FAF" w:rsidRPr="00F641C3" w:rsidRDefault="00C6678C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 xml:space="preserve">If zonal pricing applies, indicate which </w:t>
            </w:r>
            <w:r w:rsidRPr="00F641C3">
              <w:t>method is applied to determine the zonal tariff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0169" w14:textId="0DD32E9C" w:rsidR="00893FAF" w:rsidRPr="00F641C3" w:rsidRDefault="00893FAF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 xml:space="preserve">The zonal tariff indicated above corresponds to the </w:t>
            </w:r>
            <w:r w:rsidRPr="00F641C3">
              <w:t xml:space="preserve">actual weighted average distance </w:t>
            </w:r>
            <w:r w:rsidR="00C6678C" w:rsidRPr="00F641C3">
              <w:t xml:space="preserve">of the </w:t>
            </w:r>
            <w:r w:rsidR="0007195D" w:rsidRPr="00F641C3">
              <w:t>DO</w:t>
            </w:r>
            <w:r w:rsidR="00F641C3" w:rsidRPr="00F641C3">
              <w:t>’</w:t>
            </w:r>
            <w:r w:rsidR="0007195D" w:rsidRPr="00F641C3">
              <w:t>s</w:t>
            </w:r>
            <w:r w:rsidRPr="00F641C3">
              <w:t xml:space="preserve"> inbound </w:t>
            </w:r>
            <w:r w:rsidR="0095297F" w:rsidRPr="00F641C3">
              <w:t>parcels</w:t>
            </w:r>
            <w:r w:rsidR="00C6678C" w:rsidRPr="00F641C3">
              <w:rPr>
                <w:rStyle w:val="FootnoteReference"/>
                <w:rFonts w:cs="Arial"/>
              </w:rPr>
              <w:footnoteReference w:id="3"/>
            </w:r>
          </w:p>
          <w:p w14:paraId="4EC429A3" w14:textId="025670B3" w:rsidR="00893FAF" w:rsidRPr="00F641C3" w:rsidRDefault="00893FAF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</w:rPr>
              <w:tab/>
              <w:t>The zonal tariff corresponds to the mid</w:t>
            </w:r>
            <w:r w:rsidR="0065226B" w:rsidRPr="00F641C3">
              <w:rPr>
                <w:rFonts w:cs="Arial"/>
              </w:rPr>
              <w:t>-</w:t>
            </w:r>
            <w:r w:rsidRPr="00F641C3">
              <w:rPr>
                <w:rFonts w:cs="Arial"/>
              </w:rPr>
              <w:t>point of the domestic zonal tariff system</w:t>
            </w:r>
          </w:p>
        </w:tc>
      </w:tr>
      <w:tr w:rsidR="001F020C" w:rsidRPr="00F641C3" w14:paraId="4C96E36E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BF63" w14:textId="77777777" w:rsidR="003A33C5" w:rsidRPr="00F641C3" w:rsidRDefault="003A33C5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VAT rate or other taxes included in the charge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0DA3" w14:textId="77777777" w:rsidR="003A33C5" w:rsidRPr="00F641C3" w:rsidRDefault="003A33C5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1F020C" w:rsidRPr="00F641C3" w14:paraId="14D57E6B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DC29" w14:textId="77777777" w:rsidR="003A33C5" w:rsidRPr="00F641C3" w:rsidRDefault="003A33C5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Format/category in the domestic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EBA2" w14:textId="77777777" w:rsidR="003A33C5" w:rsidRPr="00F641C3" w:rsidRDefault="003A33C5" w:rsidP="000648DF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1F020C" w:rsidRPr="00F641C3" w14:paraId="2753AA1B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F9D2B" w14:textId="0C002CB4" w:rsidR="003A33C5" w:rsidRPr="00F641C3" w:rsidRDefault="003A33C5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Indicate whether</w:t>
            </w:r>
            <w:r w:rsidR="0007195D" w:rsidRPr="00F641C3">
              <w:rPr>
                <w:rFonts w:cs="Arial"/>
              </w:rPr>
              <w:t xml:space="preserve"> the</w:t>
            </w:r>
            <w:r w:rsidRPr="00F641C3">
              <w:rPr>
                <w:rFonts w:cs="Arial"/>
              </w:rPr>
              <w:t xml:space="preserve"> </w:t>
            </w:r>
            <w:r w:rsidR="0095297F" w:rsidRPr="00F641C3">
              <w:rPr>
                <w:rFonts w:cs="Arial"/>
              </w:rPr>
              <w:t>POD</w:t>
            </w:r>
            <w:r w:rsidRPr="00F641C3">
              <w:rPr>
                <w:rFonts w:cs="Arial"/>
              </w:rPr>
              <w:t xml:space="preserve"> service feature </w:t>
            </w:r>
            <w:r w:rsidR="0095297F" w:rsidRPr="00F641C3">
              <w:rPr>
                <w:rFonts w:cs="Arial"/>
              </w:rPr>
              <w:t>is</w:t>
            </w:r>
            <w:r w:rsidRPr="00F641C3">
              <w:rPr>
                <w:rFonts w:cs="Arial"/>
              </w:rPr>
              <w:t xml:space="preserve"> included in the basic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AE9C" w14:textId="7C3BE878" w:rsidR="003A33C5" w:rsidRPr="00F641C3" w:rsidRDefault="003A33C5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1F1C20" w:rsidRPr="00F641C3">
              <w:rPr>
                <w:rFonts w:cs="Arial"/>
                <w:sz w:val="24"/>
                <w:szCs w:val="24"/>
              </w:rPr>
              <w:tab/>
            </w:r>
            <w:r w:rsidR="0095297F" w:rsidRPr="00F641C3">
              <w:rPr>
                <w:rFonts w:cs="Arial"/>
              </w:rPr>
              <w:t>Yes</w:t>
            </w:r>
          </w:p>
          <w:p w14:paraId="5D4CB675" w14:textId="21524E4A" w:rsidR="003A33C5" w:rsidRPr="00F641C3" w:rsidRDefault="003A33C5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1F1C20" w:rsidRPr="00F641C3">
              <w:rPr>
                <w:rFonts w:cs="Arial"/>
                <w:sz w:val="24"/>
                <w:szCs w:val="24"/>
              </w:rPr>
              <w:tab/>
            </w:r>
            <w:r w:rsidR="0095297F" w:rsidRPr="00F641C3">
              <w:rPr>
                <w:rFonts w:cs="Arial"/>
              </w:rPr>
              <w:t>No</w:t>
            </w:r>
          </w:p>
        </w:tc>
      </w:tr>
      <w:tr w:rsidR="001F020C" w:rsidRPr="00F641C3" w14:paraId="697BE8E4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3788" w14:textId="77777777" w:rsidR="003A33C5" w:rsidRPr="00F641C3" w:rsidRDefault="003A33C5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Website address to view this information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43F6" w14:textId="77777777" w:rsidR="003A33C5" w:rsidRPr="00F641C3" w:rsidRDefault="003A33C5" w:rsidP="000648DF">
            <w:pPr>
              <w:spacing w:before="60" w:after="60"/>
              <w:rPr>
                <w:rFonts w:cs="Arial"/>
              </w:rPr>
            </w:pPr>
          </w:p>
        </w:tc>
      </w:tr>
    </w:tbl>
    <w:p w14:paraId="51A25954" w14:textId="77777777" w:rsidR="003A33C5" w:rsidRPr="00F641C3" w:rsidRDefault="003A33C5" w:rsidP="000648DF">
      <w:pPr>
        <w:jc w:val="both"/>
      </w:pPr>
    </w:p>
    <w:p w14:paraId="508F99ED" w14:textId="33C5FF76" w:rsidR="004816C8" w:rsidRPr="00F641C3" w:rsidRDefault="004816C8" w:rsidP="000648DF">
      <w:pPr>
        <w:jc w:val="both"/>
        <w:rPr>
          <w:i/>
          <w:iCs/>
        </w:rPr>
      </w:pPr>
      <w:r w:rsidRPr="00F641C3">
        <w:rPr>
          <w:i/>
          <w:iCs/>
        </w:rPr>
        <w:t xml:space="preserve">Table </w:t>
      </w:r>
      <w:r w:rsidR="00893A00" w:rsidRPr="00F641C3">
        <w:rPr>
          <w:i/>
          <w:iCs/>
        </w:rPr>
        <w:t>5</w:t>
      </w:r>
      <w:r w:rsidRPr="00F641C3">
        <w:rPr>
          <w:i/>
          <w:iCs/>
        </w:rPr>
        <w:t xml:space="preserve"> – Domestic tariff for a 500-gramme parcel in the domestic service, in effect on 1 May 2026</w:t>
      </w:r>
    </w:p>
    <w:p w14:paraId="3011055F" w14:textId="77777777" w:rsidR="004816C8" w:rsidRPr="00F641C3" w:rsidRDefault="004816C8" w:rsidP="000648DF">
      <w:pPr>
        <w:pStyle w:val="0Textedebase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816C8" w:rsidRPr="00F641C3" w14:paraId="2B728C2B" w14:textId="77777777" w:rsidTr="00FC2182">
        <w:tc>
          <w:tcPr>
            <w:tcW w:w="2500" w:type="pct"/>
            <w:shd w:val="clear" w:color="auto" w:fill="auto"/>
          </w:tcPr>
          <w:p w14:paraId="1807D30C" w14:textId="7DBFBBF8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does not apply (in local currency)</w:t>
            </w:r>
          </w:p>
        </w:tc>
        <w:tc>
          <w:tcPr>
            <w:tcW w:w="2500" w:type="pct"/>
            <w:shd w:val="clear" w:color="auto" w:fill="auto"/>
          </w:tcPr>
          <w:p w14:paraId="7F383C69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3C0B3B76" w14:textId="77777777" w:rsidTr="00FC2182">
        <w:tc>
          <w:tcPr>
            <w:tcW w:w="2500" w:type="pct"/>
            <w:shd w:val="clear" w:color="auto" w:fill="auto"/>
          </w:tcPr>
          <w:p w14:paraId="6478298E" w14:textId="5AC892F6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applies (in local currency)</w:t>
            </w:r>
          </w:p>
        </w:tc>
        <w:tc>
          <w:tcPr>
            <w:tcW w:w="2500" w:type="pct"/>
            <w:shd w:val="clear" w:color="auto" w:fill="auto"/>
          </w:tcPr>
          <w:p w14:paraId="70DF27EA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1D7E1760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F6A9" w14:textId="74201CEC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 xml:space="preserve">If zonal pricing applies, indicate which </w:t>
            </w:r>
            <w:r w:rsidRPr="00F641C3">
              <w:t>method is applied to determine the zonal tariff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6E3C" w14:textId="6912F827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The zonal tariff indicated above corresponds to the actual</w:t>
            </w:r>
            <w:r w:rsidRPr="00F641C3">
              <w:t xml:space="preserve"> weighted average distance of the </w:t>
            </w:r>
            <w:r w:rsidR="0007195D" w:rsidRPr="00F641C3">
              <w:t>DO</w:t>
            </w:r>
            <w:r w:rsidR="00F641C3" w:rsidRPr="00F641C3">
              <w:t>’</w:t>
            </w:r>
            <w:r w:rsidR="0007195D" w:rsidRPr="00F641C3">
              <w:t xml:space="preserve">s </w:t>
            </w:r>
            <w:r w:rsidRPr="00F641C3">
              <w:t>inbound parcels</w:t>
            </w:r>
            <w:r w:rsidRPr="00F641C3">
              <w:rPr>
                <w:rStyle w:val="FootnoteReference"/>
                <w:rFonts w:cs="Arial"/>
              </w:rPr>
              <w:footnoteReference w:id="4"/>
            </w:r>
          </w:p>
          <w:p w14:paraId="3F3CE085" w14:textId="2DAFB726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</w:rPr>
              <w:tab/>
              <w:t>The zonal tariff corresponds to the mid-point of the domestic zonal tariff system</w:t>
            </w:r>
          </w:p>
        </w:tc>
      </w:tr>
      <w:tr w:rsidR="004816C8" w:rsidRPr="00F641C3" w14:paraId="0F3516F7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752D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VAT rate or other taxes included in the charge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F4C5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1865518F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BCB4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Format/category in the domestic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F6FE" w14:textId="77777777" w:rsidR="004816C8" w:rsidRPr="00F641C3" w:rsidRDefault="004816C8" w:rsidP="000648DF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816C8" w:rsidRPr="00F641C3" w14:paraId="4CD61F1E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698EB" w14:textId="3F9B1D58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Indicate whether</w:t>
            </w:r>
            <w:r w:rsidR="0007195D" w:rsidRPr="00F641C3">
              <w:rPr>
                <w:rFonts w:cs="Arial"/>
              </w:rPr>
              <w:t xml:space="preserve"> the</w:t>
            </w:r>
            <w:r w:rsidRPr="00F641C3">
              <w:rPr>
                <w:rFonts w:cs="Arial"/>
              </w:rPr>
              <w:t xml:space="preserve"> POD service feature is included in the basic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2B29" w14:textId="682309D5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F641C3"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Yes</w:t>
            </w:r>
          </w:p>
          <w:p w14:paraId="1A65C227" w14:textId="582A4196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F641C3"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No</w:t>
            </w:r>
          </w:p>
        </w:tc>
      </w:tr>
      <w:tr w:rsidR="004816C8" w:rsidRPr="00F641C3" w14:paraId="4F1DC4C3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B0A4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Website address to view this information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6F41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</w:p>
        </w:tc>
      </w:tr>
    </w:tbl>
    <w:p w14:paraId="78EF2606" w14:textId="0E9B36F4" w:rsidR="00E67A65" w:rsidRPr="00F641C3" w:rsidRDefault="00E67A65" w:rsidP="000648DF">
      <w:pPr>
        <w:jc w:val="both"/>
      </w:pPr>
    </w:p>
    <w:p w14:paraId="6BB207E3" w14:textId="77777777" w:rsidR="00FC2182" w:rsidRDefault="00FC2182">
      <w:pPr>
        <w:spacing w:line="240" w:lineRule="auto"/>
        <w:rPr>
          <w:i/>
          <w:iCs/>
        </w:rPr>
      </w:pPr>
      <w:r>
        <w:rPr>
          <w:i/>
          <w:iCs/>
        </w:rPr>
        <w:br w:type="page"/>
      </w:r>
    </w:p>
    <w:p w14:paraId="417781EF" w14:textId="0F668968" w:rsidR="004816C8" w:rsidRPr="00F641C3" w:rsidRDefault="004816C8" w:rsidP="000648DF">
      <w:pPr>
        <w:rPr>
          <w:i/>
          <w:iCs/>
        </w:rPr>
      </w:pPr>
      <w:r w:rsidRPr="00F641C3">
        <w:rPr>
          <w:i/>
          <w:iCs/>
        </w:rPr>
        <w:lastRenderedPageBreak/>
        <w:t xml:space="preserve">Table </w:t>
      </w:r>
      <w:r w:rsidR="00893A00" w:rsidRPr="00F641C3">
        <w:rPr>
          <w:i/>
          <w:iCs/>
        </w:rPr>
        <w:t>6</w:t>
      </w:r>
      <w:r w:rsidRPr="00F641C3">
        <w:rPr>
          <w:i/>
          <w:iCs/>
        </w:rPr>
        <w:t xml:space="preserve"> – Domestic tariff for a 1-kilogramme parcel in the domestic service, in effect on 1 May 2026</w:t>
      </w:r>
    </w:p>
    <w:p w14:paraId="20C091B5" w14:textId="77777777" w:rsidR="004816C8" w:rsidRPr="00F641C3" w:rsidRDefault="004816C8" w:rsidP="000648DF">
      <w:pPr>
        <w:pStyle w:val="0Textedebase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816C8" w:rsidRPr="00F641C3" w14:paraId="66FCAD17" w14:textId="77777777" w:rsidTr="00FC2182">
        <w:tc>
          <w:tcPr>
            <w:tcW w:w="2500" w:type="pct"/>
            <w:shd w:val="clear" w:color="auto" w:fill="auto"/>
          </w:tcPr>
          <w:p w14:paraId="16A2851A" w14:textId="3CC18360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does not apply (in local currency)</w:t>
            </w:r>
          </w:p>
        </w:tc>
        <w:tc>
          <w:tcPr>
            <w:tcW w:w="2500" w:type="pct"/>
            <w:shd w:val="clear" w:color="auto" w:fill="auto"/>
          </w:tcPr>
          <w:p w14:paraId="73D900B2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0995D054" w14:textId="77777777" w:rsidTr="00FC2182">
        <w:tc>
          <w:tcPr>
            <w:tcW w:w="2500" w:type="pct"/>
            <w:shd w:val="clear" w:color="auto" w:fill="auto"/>
          </w:tcPr>
          <w:p w14:paraId="06893216" w14:textId="501094F4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applies (in local currency)</w:t>
            </w:r>
          </w:p>
        </w:tc>
        <w:tc>
          <w:tcPr>
            <w:tcW w:w="2500" w:type="pct"/>
            <w:shd w:val="clear" w:color="auto" w:fill="auto"/>
          </w:tcPr>
          <w:p w14:paraId="58532A97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1A5B64B3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E874" w14:textId="6E86D889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 xml:space="preserve">If zonal pricing applies, indicate which </w:t>
            </w:r>
            <w:r w:rsidRPr="00F641C3">
              <w:t>method is applied to determine the zonal tariff</w:t>
            </w:r>
            <w:r w:rsidRPr="00F641C3">
              <w:rPr>
                <w:rFonts w:cs="Arial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7DFD" w14:textId="45930319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 xml:space="preserve">The zonal tariff indicated above corresponds to the </w:t>
            </w:r>
            <w:r w:rsidRPr="00F641C3">
              <w:t xml:space="preserve">actual weighted average distance of the </w:t>
            </w:r>
            <w:r w:rsidR="0007195D" w:rsidRPr="00F641C3">
              <w:t>DO</w:t>
            </w:r>
            <w:r w:rsidR="00F641C3" w:rsidRPr="00F641C3">
              <w:t>’</w:t>
            </w:r>
            <w:r w:rsidR="0007195D" w:rsidRPr="00F641C3">
              <w:t xml:space="preserve">s </w:t>
            </w:r>
            <w:r w:rsidRPr="00F641C3">
              <w:t>inbound parcels</w:t>
            </w:r>
            <w:r w:rsidRPr="00F641C3">
              <w:rPr>
                <w:rStyle w:val="FootnoteReference"/>
                <w:rFonts w:cs="Arial"/>
              </w:rPr>
              <w:footnoteReference w:id="5"/>
            </w:r>
          </w:p>
          <w:p w14:paraId="40551034" w14:textId="77777777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</w:rPr>
              <w:tab/>
              <w:t>The zonal tariff corresponds to the mid-point of the domestic zonal tariff system.</w:t>
            </w:r>
          </w:p>
        </w:tc>
      </w:tr>
      <w:tr w:rsidR="004816C8" w:rsidRPr="00F641C3" w14:paraId="057E8FDD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D748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VAT rate or other taxes included in the charge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BE19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5367BD74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CF66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Format/category in the domestic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6C26" w14:textId="77777777" w:rsidR="004816C8" w:rsidRPr="00F641C3" w:rsidRDefault="004816C8" w:rsidP="000648DF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816C8" w:rsidRPr="00F641C3" w14:paraId="330F4539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BE833" w14:textId="66D9BB83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 xml:space="preserve">Indicate whether </w:t>
            </w:r>
            <w:r w:rsidR="007E15A4" w:rsidRPr="00F641C3">
              <w:rPr>
                <w:rFonts w:cs="Arial"/>
              </w:rPr>
              <w:t xml:space="preserve">the </w:t>
            </w:r>
            <w:r w:rsidRPr="00F641C3">
              <w:rPr>
                <w:rFonts w:cs="Arial"/>
              </w:rPr>
              <w:t>POD service feature is included in the basic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DD4C" w14:textId="0B138DBD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F641C3"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Yes</w:t>
            </w:r>
          </w:p>
          <w:p w14:paraId="13A16E40" w14:textId="6771EF4D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F641C3"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No</w:t>
            </w:r>
          </w:p>
        </w:tc>
      </w:tr>
      <w:tr w:rsidR="004816C8" w:rsidRPr="00F641C3" w14:paraId="173B9B7A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697B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Website address to view this information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825A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</w:p>
        </w:tc>
      </w:tr>
    </w:tbl>
    <w:p w14:paraId="3D1749D0" w14:textId="74B07158" w:rsidR="004816C8" w:rsidRPr="00F641C3" w:rsidRDefault="004816C8" w:rsidP="000648DF">
      <w:pPr>
        <w:jc w:val="both"/>
        <w:rPr>
          <w:b/>
          <w:bCs/>
        </w:rPr>
      </w:pPr>
    </w:p>
    <w:p w14:paraId="07C391B3" w14:textId="6B895A72" w:rsidR="004816C8" w:rsidRPr="00F641C3" w:rsidRDefault="004816C8" w:rsidP="000648DF">
      <w:pPr>
        <w:rPr>
          <w:i/>
          <w:iCs/>
        </w:rPr>
      </w:pPr>
      <w:r w:rsidRPr="00F641C3">
        <w:rPr>
          <w:i/>
          <w:iCs/>
        </w:rPr>
        <w:t xml:space="preserve">Table </w:t>
      </w:r>
      <w:r w:rsidR="00893A00" w:rsidRPr="00F641C3">
        <w:rPr>
          <w:i/>
          <w:iCs/>
        </w:rPr>
        <w:t>7</w:t>
      </w:r>
      <w:r w:rsidRPr="00F641C3">
        <w:rPr>
          <w:i/>
          <w:iCs/>
        </w:rPr>
        <w:t xml:space="preserve"> – Domestic tariff for a 2-kilogramme parcel in the domestic service, in effect on 1 May 2026</w:t>
      </w:r>
    </w:p>
    <w:p w14:paraId="74B93F6A" w14:textId="77777777" w:rsidR="004816C8" w:rsidRPr="00F641C3" w:rsidRDefault="004816C8" w:rsidP="000648DF">
      <w:pPr>
        <w:pStyle w:val="0Textedebase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816C8" w:rsidRPr="00F641C3" w14:paraId="59C3B53B" w14:textId="77777777" w:rsidTr="00FC2182">
        <w:tc>
          <w:tcPr>
            <w:tcW w:w="2500" w:type="pct"/>
            <w:shd w:val="clear" w:color="auto" w:fill="auto"/>
          </w:tcPr>
          <w:p w14:paraId="01C2B8FA" w14:textId="49FB6EED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does not apply (in local currency)</w:t>
            </w:r>
          </w:p>
        </w:tc>
        <w:tc>
          <w:tcPr>
            <w:tcW w:w="2500" w:type="pct"/>
            <w:shd w:val="clear" w:color="auto" w:fill="auto"/>
          </w:tcPr>
          <w:p w14:paraId="263EFEDA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50BC0C34" w14:textId="77777777" w:rsidTr="00FC2182">
        <w:tc>
          <w:tcPr>
            <w:tcW w:w="2500" w:type="pct"/>
            <w:shd w:val="clear" w:color="auto" w:fill="auto"/>
          </w:tcPr>
          <w:p w14:paraId="440C8694" w14:textId="413B578B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applies (in local currency)</w:t>
            </w:r>
          </w:p>
        </w:tc>
        <w:tc>
          <w:tcPr>
            <w:tcW w:w="2500" w:type="pct"/>
            <w:shd w:val="clear" w:color="auto" w:fill="auto"/>
          </w:tcPr>
          <w:p w14:paraId="2F93B60E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5F387AF0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0DEA" w14:textId="0DBCA860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 xml:space="preserve">If zonal pricing applies, indicate which </w:t>
            </w:r>
            <w:r w:rsidRPr="00F641C3">
              <w:t>method is applied to determine the zonal tariff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C0D8" w14:textId="4DD33DC0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The zonal tariff indicated above corresponds to the actual</w:t>
            </w:r>
            <w:r w:rsidRPr="00F641C3">
              <w:t xml:space="preserve"> weighted average distance of the </w:t>
            </w:r>
            <w:r w:rsidR="007E15A4" w:rsidRPr="00F641C3">
              <w:t>DO</w:t>
            </w:r>
            <w:r w:rsidR="00F641C3" w:rsidRPr="00F641C3">
              <w:t>’</w:t>
            </w:r>
            <w:r w:rsidR="007E15A4" w:rsidRPr="00F641C3">
              <w:t xml:space="preserve">s </w:t>
            </w:r>
            <w:r w:rsidRPr="00F641C3">
              <w:t>inbound parcels</w:t>
            </w:r>
            <w:r w:rsidRPr="00F641C3">
              <w:rPr>
                <w:rStyle w:val="FootnoteReference"/>
                <w:rFonts w:cs="Arial"/>
              </w:rPr>
              <w:footnoteReference w:id="6"/>
            </w:r>
          </w:p>
          <w:p w14:paraId="16A1FB75" w14:textId="25C0FE4E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</w:rPr>
              <w:tab/>
              <w:t>The zonal tariff corresponds to the mid-point of the domestic zonal tariff system</w:t>
            </w:r>
          </w:p>
        </w:tc>
      </w:tr>
      <w:tr w:rsidR="004816C8" w:rsidRPr="00F641C3" w14:paraId="753B25B0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3550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VAT rate or other taxes included in the charge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F5A9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4FEC4BBB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D435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Format/category in the domestic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FE73" w14:textId="77777777" w:rsidR="004816C8" w:rsidRPr="00F641C3" w:rsidRDefault="004816C8" w:rsidP="000648DF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816C8" w:rsidRPr="00F641C3" w14:paraId="0EB55277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2297D" w14:textId="4DDB47DF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 xml:space="preserve">Indicate whether </w:t>
            </w:r>
            <w:r w:rsidR="007E15A4" w:rsidRPr="00F641C3">
              <w:rPr>
                <w:rFonts w:cs="Arial"/>
              </w:rPr>
              <w:t xml:space="preserve">the </w:t>
            </w:r>
            <w:r w:rsidRPr="00F641C3">
              <w:rPr>
                <w:rFonts w:cs="Arial"/>
              </w:rPr>
              <w:t>POD service feature is included in the basic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711C" w14:textId="330B9DD3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F641C3"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Yes</w:t>
            </w:r>
          </w:p>
          <w:p w14:paraId="3D660AB3" w14:textId="50BB0DC2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F641C3"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No</w:t>
            </w:r>
          </w:p>
        </w:tc>
      </w:tr>
      <w:tr w:rsidR="004816C8" w:rsidRPr="00F641C3" w14:paraId="4C9E3FAB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661C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Website address to view this information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39EF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</w:p>
        </w:tc>
      </w:tr>
    </w:tbl>
    <w:p w14:paraId="2FF93DC6" w14:textId="2D318C0A" w:rsidR="004816C8" w:rsidRPr="00F641C3" w:rsidRDefault="004816C8" w:rsidP="000648DF">
      <w:pPr>
        <w:jc w:val="both"/>
        <w:rPr>
          <w:b/>
          <w:bCs/>
        </w:rPr>
      </w:pPr>
    </w:p>
    <w:p w14:paraId="1AAA721C" w14:textId="77777777" w:rsidR="00FC2182" w:rsidRDefault="00FC2182">
      <w:pPr>
        <w:spacing w:line="240" w:lineRule="auto"/>
        <w:rPr>
          <w:i/>
          <w:iCs/>
        </w:rPr>
      </w:pPr>
      <w:r>
        <w:rPr>
          <w:i/>
          <w:iCs/>
        </w:rPr>
        <w:br w:type="page"/>
      </w:r>
    </w:p>
    <w:p w14:paraId="121C53AC" w14:textId="25E699E3" w:rsidR="004816C8" w:rsidRPr="00F641C3" w:rsidRDefault="004816C8" w:rsidP="000648DF">
      <w:pPr>
        <w:rPr>
          <w:i/>
          <w:iCs/>
        </w:rPr>
      </w:pPr>
      <w:r w:rsidRPr="00F641C3">
        <w:rPr>
          <w:i/>
          <w:iCs/>
        </w:rPr>
        <w:lastRenderedPageBreak/>
        <w:t xml:space="preserve">Table </w:t>
      </w:r>
      <w:r w:rsidR="00893A00" w:rsidRPr="00F641C3">
        <w:rPr>
          <w:i/>
          <w:iCs/>
        </w:rPr>
        <w:t>8</w:t>
      </w:r>
      <w:r w:rsidRPr="00F641C3">
        <w:rPr>
          <w:i/>
          <w:iCs/>
        </w:rPr>
        <w:t xml:space="preserve"> – Domestic tariff for a 5-kilogramme parcel in the domestic service, in effect on 1 May 2026</w:t>
      </w:r>
    </w:p>
    <w:p w14:paraId="63C2981E" w14:textId="77777777" w:rsidR="004816C8" w:rsidRPr="00F641C3" w:rsidRDefault="004816C8" w:rsidP="000648DF">
      <w:pPr>
        <w:pStyle w:val="0Textedebase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816C8" w:rsidRPr="00F641C3" w14:paraId="044F987B" w14:textId="77777777" w:rsidTr="00FC2182">
        <w:tc>
          <w:tcPr>
            <w:tcW w:w="2500" w:type="pct"/>
            <w:shd w:val="clear" w:color="auto" w:fill="auto"/>
          </w:tcPr>
          <w:p w14:paraId="3B529E4D" w14:textId="706124AE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does not apply (in local currency)</w:t>
            </w:r>
          </w:p>
        </w:tc>
        <w:tc>
          <w:tcPr>
            <w:tcW w:w="2500" w:type="pct"/>
            <w:shd w:val="clear" w:color="auto" w:fill="auto"/>
          </w:tcPr>
          <w:p w14:paraId="6B8FBCEC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5566E1F9" w14:textId="77777777" w:rsidTr="00FC2182">
        <w:tc>
          <w:tcPr>
            <w:tcW w:w="2500" w:type="pct"/>
            <w:shd w:val="clear" w:color="auto" w:fill="auto"/>
          </w:tcPr>
          <w:p w14:paraId="7C996C24" w14:textId="1D4E1631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applies (in local currency)</w:t>
            </w:r>
          </w:p>
        </w:tc>
        <w:tc>
          <w:tcPr>
            <w:tcW w:w="2500" w:type="pct"/>
            <w:shd w:val="clear" w:color="auto" w:fill="auto"/>
          </w:tcPr>
          <w:p w14:paraId="24D68988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6410FA0E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F6CE" w14:textId="64DB57A8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 xml:space="preserve">If zonal pricing applies, indicate which </w:t>
            </w:r>
            <w:r w:rsidRPr="00F641C3">
              <w:t>method is applied to determine the zonal tariff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2583" w14:textId="39725283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The zonal tariff indicated above corresponds to the actual</w:t>
            </w:r>
            <w:r w:rsidRPr="00F641C3">
              <w:t xml:space="preserve"> weighted average distance of the </w:t>
            </w:r>
            <w:r w:rsidR="007E15A4" w:rsidRPr="00F641C3">
              <w:t>DO</w:t>
            </w:r>
            <w:r w:rsidR="00F641C3" w:rsidRPr="00F641C3">
              <w:t>’</w:t>
            </w:r>
            <w:r w:rsidR="007E15A4" w:rsidRPr="00F641C3">
              <w:t xml:space="preserve">s </w:t>
            </w:r>
            <w:r w:rsidRPr="00F641C3">
              <w:t>inbound parcels</w:t>
            </w:r>
            <w:r w:rsidRPr="00F641C3">
              <w:rPr>
                <w:rStyle w:val="FootnoteReference"/>
                <w:rFonts w:cs="Arial"/>
              </w:rPr>
              <w:footnoteReference w:id="7"/>
            </w:r>
          </w:p>
          <w:p w14:paraId="6CDFE2E9" w14:textId="5E294CEA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</w:rPr>
              <w:tab/>
              <w:t>The zonal tariff corresponds to the mid-point of the domestic zonal tariff system</w:t>
            </w:r>
          </w:p>
        </w:tc>
      </w:tr>
      <w:tr w:rsidR="004816C8" w:rsidRPr="00F641C3" w14:paraId="548028AE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DD33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VAT rate or other taxes included in the charge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DFDE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497C9E82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7DAA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Format/category in the domestic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D686" w14:textId="77777777" w:rsidR="004816C8" w:rsidRPr="00F641C3" w:rsidRDefault="004816C8" w:rsidP="000648DF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816C8" w:rsidRPr="00F641C3" w14:paraId="3C295847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9B42C" w14:textId="5E9E6ABE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 xml:space="preserve">Indicate whether </w:t>
            </w:r>
            <w:r w:rsidR="007E15A4" w:rsidRPr="00F641C3">
              <w:rPr>
                <w:rFonts w:cs="Arial"/>
              </w:rPr>
              <w:t xml:space="preserve">the </w:t>
            </w:r>
            <w:r w:rsidRPr="00F641C3">
              <w:rPr>
                <w:rFonts w:cs="Arial"/>
              </w:rPr>
              <w:t>POD service feature is included in the basic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D8BF" w14:textId="0F6EBC55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F641C3"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Yes</w:t>
            </w:r>
          </w:p>
          <w:p w14:paraId="3144EC48" w14:textId="263BC918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F641C3"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No</w:t>
            </w:r>
          </w:p>
        </w:tc>
      </w:tr>
      <w:tr w:rsidR="004816C8" w:rsidRPr="00F641C3" w14:paraId="15740EB3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78A2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Website address to view this information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9459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</w:p>
        </w:tc>
      </w:tr>
    </w:tbl>
    <w:p w14:paraId="60D6237D" w14:textId="4F562CB7" w:rsidR="004816C8" w:rsidRPr="00F641C3" w:rsidRDefault="004816C8" w:rsidP="000648DF">
      <w:pPr>
        <w:jc w:val="both"/>
        <w:rPr>
          <w:b/>
          <w:bCs/>
        </w:rPr>
      </w:pPr>
    </w:p>
    <w:p w14:paraId="31262B3F" w14:textId="704E25AD" w:rsidR="004816C8" w:rsidRPr="00F641C3" w:rsidRDefault="004816C8" w:rsidP="000648DF">
      <w:pPr>
        <w:rPr>
          <w:i/>
          <w:iCs/>
        </w:rPr>
      </w:pPr>
      <w:r w:rsidRPr="00F641C3">
        <w:rPr>
          <w:i/>
          <w:iCs/>
        </w:rPr>
        <w:t xml:space="preserve">Table </w:t>
      </w:r>
      <w:r w:rsidR="00893A00" w:rsidRPr="00F641C3">
        <w:rPr>
          <w:i/>
          <w:iCs/>
        </w:rPr>
        <w:t>9</w:t>
      </w:r>
      <w:r w:rsidRPr="00F641C3">
        <w:rPr>
          <w:i/>
          <w:iCs/>
        </w:rPr>
        <w:t xml:space="preserve"> – Domestic tariff for a 10-kilogramme parcel in the domestic service, in effect on 1 May 2026</w:t>
      </w:r>
    </w:p>
    <w:p w14:paraId="2055D69F" w14:textId="77777777" w:rsidR="004816C8" w:rsidRPr="00F641C3" w:rsidRDefault="004816C8" w:rsidP="000648DF">
      <w:pPr>
        <w:pStyle w:val="0Textedebase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816C8" w:rsidRPr="00F641C3" w14:paraId="29BE3887" w14:textId="77777777" w:rsidTr="00FC2182">
        <w:tc>
          <w:tcPr>
            <w:tcW w:w="2500" w:type="pct"/>
            <w:shd w:val="clear" w:color="auto" w:fill="auto"/>
          </w:tcPr>
          <w:p w14:paraId="18175739" w14:textId="59C90BEA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does not apply (in local currency)</w:t>
            </w:r>
          </w:p>
        </w:tc>
        <w:tc>
          <w:tcPr>
            <w:tcW w:w="2500" w:type="pct"/>
            <w:shd w:val="clear" w:color="auto" w:fill="auto"/>
          </w:tcPr>
          <w:p w14:paraId="5279E7CB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2E149407" w14:textId="77777777" w:rsidTr="00FC2182">
        <w:tc>
          <w:tcPr>
            <w:tcW w:w="2500" w:type="pct"/>
            <w:shd w:val="clear" w:color="auto" w:fill="auto"/>
          </w:tcPr>
          <w:p w14:paraId="018B6E76" w14:textId="15EC1FA2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applies (in local currency)</w:t>
            </w:r>
          </w:p>
        </w:tc>
        <w:tc>
          <w:tcPr>
            <w:tcW w:w="2500" w:type="pct"/>
            <w:shd w:val="clear" w:color="auto" w:fill="auto"/>
          </w:tcPr>
          <w:p w14:paraId="5D19490E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55A1FC95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8BBC" w14:textId="2623B060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 xml:space="preserve">If zonal pricing applies, indicate which </w:t>
            </w:r>
            <w:r w:rsidRPr="00F641C3">
              <w:t>method is applied to determine the zonal tariff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982B" w14:textId="739B8B1E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 xml:space="preserve">The zonal tariff indicated above corresponds to the </w:t>
            </w:r>
            <w:r w:rsidRPr="00F641C3">
              <w:t xml:space="preserve">actual weighted average distance of the </w:t>
            </w:r>
            <w:r w:rsidR="000C7679" w:rsidRPr="00F641C3">
              <w:t>DO</w:t>
            </w:r>
            <w:r w:rsidR="00F641C3" w:rsidRPr="00F641C3">
              <w:t>’</w:t>
            </w:r>
            <w:r w:rsidR="000C7679" w:rsidRPr="00F641C3">
              <w:t xml:space="preserve">s </w:t>
            </w:r>
            <w:r w:rsidRPr="00F641C3">
              <w:t>inbound parcels</w:t>
            </w:r>
            <w:r w:rsidRPr="00F641C3">
              <w:rPr>
                <w:rStyle w:val="FootnoteReference"/>
                <w:rFonts w:cs="Arial"/>
              </w:rPr>
              <w:footnoteReference w:id="8"/>
            </w:r>
          </w:p>
          <w:p w14:paraId="6B7A8089" w14:textId="2A7F96F2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</w:rPr>
              <w:tab/>
              <w:t>The zonal tariff corresponds to the mid-point of the domestic zonal tariff system</w:t>
            </w:r>
          </w:p>
        </w:tc>
      </w:tr>
      <w:tr w:rsidR="004816C8" w:rsidRPr="00F641C3" w14:paraId="4FC3B688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3C0DD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VAT rate or other taxes included in the charge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A4DF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73914AFD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701A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Format/category in the domestic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501D" w14:textId="77777777" w:rsidR="004816C8" w:rsidRPr="00F641C3" w:rsidRDefault="004816C8" w:rsidP="000648DF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816C8" w:rsidRPr="00F641C3" w14:paraId="50274866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6BFAD" w14:textId="182A8772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Indicate whether</w:t>
            </w:r>
            <w:r w:rsidR="000C7679" w:rsidRPr="00F641C3">
              <w:rPr>
                <w:rFonts w:cs="Arial"/>
              </w:rPr>
              <w:t xml:space="preserve"> the</w:t>
            </w:r>
            <w:r w:rsidRPr="00F641C3">
              <w:rPr>
                <w:rFonts w:cs="Arial"/>
              </w:rPr>
              <w:t xml:space="preserve"> POD service feature is included in the basic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1BC0" w14:textId="689ECB6B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F641C3"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Yes</w:t>
            </w:r>
          </w:p>
          <w:p w14:paraId="44496EAA" w14:textId="17002F4A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F641C3"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No</w:t>
            </w:r>
            <w:r w:rsidRPr="00F641C3">
              <w:rPr>
                <w:rFonts w:cs="Arial"/>
              </w:rPr>
              <w:tab/>
            </w:r>
          </w:p>
        </w:tc>
      </w:tr>
      <w:tr w:rsidR="004816C8" w:rsidRPr="00F641C3" w14:paraId="38C73058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4654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Website address to view this information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ACC1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</w:p>
        </w:tc>
      </w:tr>
    </w:tbl>
    <w:p w14:paraId="37FE483D" w14:textId="44614525" w:rsidR="004816C8" w:rsidRPr="00F641C3" w:rsidRDefault="004816C8" w:rsidP="000648DF">
      <w:pPr>
        <w:jc w:val="both"/>
        <w:rPr>
          <w:b/>
          <w:bCs/>
        </w:rPr>
      </w:pPr>
    </w:p>
    <w:p w14:paraId="45950CDE" w14:textId="77777777" w:rsidR="00FC2182" w:rsidRDefault="00FC2182">
      <w:pPr>
        <w:spacing w:line="240" w:lineRule="auto"/>
        <w:rPr>
          <w:i/>
          <w:iCs/>
        </w:rPr>
      </w:pPr>
      <w:r>
        <w:rPr>
          <w:i/>
          <w:iCs/>
        </w:rPr>
        <w:br w:type="page"/>
      </w:r>
    </w:p>
    <w:p w14:paraId="41DFC0D6" w14:textId="17E84B14" w:rsidR="004816C8" w:rsidRPr="00F641C3" w:rsidRDefault="004816C8" w:rsidP="000648DF">
      <w:pPr>
        <w:rPr>
          <w:i/>
          <w:iCs/>
        </w:rPr>
      </w:pPr>
      <w:r w:rsidRPr="00F641C3">
        <w:rPr>
          <w:i/>
          <w:iCs/>
        </w:rPr>
        <w:lastRenderedPageBreak/>
        <w:t xml:space="preserve">Table </w:t>
      </w:r>
      <w:r w:rsidR="00893A00" w:rsidRPr="00F641C3">
        <w:rPr>
          <w:i/>
          <w:iCs/>
        </w:rPr>
        <w:t>10</w:t>
      </w:r>
      <w:r w:rsidRPr="00F641C3">
        <w:rPr>
          <w:i/>
          <w:iCs/>
        </w:rPr>
        <w:t xml:space="preserve"> – Domestic tariff for a 20-kilogramme parcel in the domestic service, in effect on 1 May 2026</w:t>
      </w:r>
    </w:p>
    <w:p w14:paraId="3FF5B625" w14:textId="77777777" w:rsidR="004816C8" w:rsidRPr="00F641C3" w:rsidRDefault="004816C8" w:rsidP="000648DF">
      <w:pPr>
        <w:pStyle w:val="0Textedebase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816C8" w:rsidRPr="00F641C3" w14:paraId="3CDD2A1A" w14:textId="77777777" w:rsidTr="00FC2182">
        <w:tc>
          <w:tcPr>
            <w:tcW w:w="2500" w:type="pct"/>
            <w:shd w:val="clear" w:color="auto" w:fill="auto"/>
          </w:tcPr>
          <w:p w14:paraId="50599291" w14:textId="10DAEEA5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does not apply (in local currency)</w:t>
            </w:r>
          </w:p>
        </w:tc>
        <w:tc>
          <w:tcPr>
            <w:tcW w:w="2500" w:type="pct"/>
            <w:shd w:val="clear" w:color="auto" w:fill="auto"/>
          </w:tcPr>
          <w:p w14:paraId="17589873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3110AF93" w14:textId="77777777" w:rsidTr="00FC2182">
        <w:tc>
          <w:tcPr>
            <w:tcW w:w="2500" w:type="pct"/>
            <w:shd w:val="clear" w:color="auto" w:fill="auto"/>
          </w:tcPr>
          <w:p w14:paraId="0BA4F560" w14:textId="3D209586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Rate if zonal pricing applies (in local currency)</w:t>
            </w:r>
          </w:p>
        </w:tc>
        <w:tc>
          <w:tcPr>
            <w:tcW w:w="2500" w:type="pct"/>
            <w:shd w:val="clear" w:color="auto" w:fill="auto"/>
          </w:tcPr>
          <w:p w14:paraId="526613C1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45051FD1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79C9" w14:textId="15A02B8F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 xml:space="preserve">If zonal pricing applies, indicate which </w:t>
            </w:r>
            <w:r w:rsidRPr="00F641C3">
              <w:t>method is applied to determine the zonal tariff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F6A1" w14:textId="58B480D0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The zonal tariff indicated above corresponds to the actual</w:t>
            </w:r>
            <w:r w:rsidRPr="00F641C3">
              <w:t xml:space="preserve"> weighted average distance of the </w:t>
            </w:r>
            <w:r w:rsidR="000C7679" w:rsidRPr="00F641C3">
              <w:t>DO</w:t>
            </w:r>
            <w:r w:rsidR="00F641C3" w:rsidRPr="00F641C3">
              <w:t>’</w:t>
            </w:r>
            <w:r w:rsidR="000C7679" w:rsidRPr="00F641C3">
              <w:t xml:space="preserve">s </w:t>
            </w:r>
            <w:r w:rsidRPr="00F641C3">
              <w:t>inbound parcels</w:t>
            </w:r>
            <w:r w:rsidRPr="00F641C3">
              <w:rPr>
                <w:rStyle w:val="FootnoteReference"/>
                <w:rFonts w:cs="Arial"/>
              </w:rPr>
              <w:footnoteReference w:id="9"/>
            </w:r>
          </w:p>
          <w:p w14:paraId="432A3376" w14:textId="228B3324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Pr="00F641C3">
              <w:rPr>
                <w:rFonts w:cs="Arial"/>
              </w:rPr>
              <w:tab/>
              <w:t>The zonal tariff corresponds to the mid-point of the domestic zonal tariff system</w:t>
            </w:r>
          </w:p>
        </w:tc>
      </w:tr>
      <w:tr w:rsidR="004816C8" w:rsidRPr="00F641C3" w14:paraId="56D24DBB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689E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>VAT rate or other taxes included in the charge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717B" w14:textId="77777777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816C8" w:rsidRPr="00F641C3" w14:paraId="498B0221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D4CD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Format/category in the domestic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9C74" w14:textId="77777777" w:rsidR="004816C8" w:rsidRPr="00F641C3" w:rsidRDefault="004816C8" w:rsidP="000648DF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816C8" w:rsidRPr="00F641C3" w14:paraId="1C3D0B37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D8CB8" w14:textId="3A01F33A" w:rsidR="004816C8" w:rsidRPr="00F641C3" w:rsidRDefault="004816C8" w:rsidP="000648DF">
            <w:pPr>
              <w:spacing w:before="60" w:after="60"/>
              <w:jc w:val="both"/>
              <w:rPr>
                <w:rFonts w:cs="Arial"/>
              </w:rPr>
            </w:pPr>
            <w:r w:rsidRPr="00F641C3">
              <w:rPr>
                <w:rFonts w:cs="Arial"/>
              </w:rPr>
              <w:t xml:space="preserve">Indicate whether </w:t>
            </w:r>
            <w:r w:rsidR="000C7679" w:rsidRPr="00F641C3">
              <w:rPr>
                <w:rFonts w:cs="Arial"/>
              </w:rPr>
              <w:t xml:space="preserve">the </w:t>
            </w:r>
            <w:r w:rsidRPr="00F641C3">
              <w:rPr>
                <w:rFonts w:cs="Arial"/>
              </w:rPr>
              <w:t>POD service feature is included in the basic service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5BC9" w14:textId="5F18CFF2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F641C3"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Yes</w:t>
            </w:r>
          </w:p>
          <w:p w14:paraId="420A326B" w14:textId="55EE697A" w:rsidR="004816C8" w:rsidRPr="00F641C3" w:rsidRDefault="004816C8" w:rsidP="000648DF">
            <w:pPr>
              <w:spacing w:before="60" w:after="60"/>
              <w:ind w:left="284" w:hanging="284"/>
              <w:jc w:val="both"/>
              <w:rPr>
                <w:rFonts w:cs="Arial"/>
              </w:rPr>
            </w:pPr>
            <w:r w:rsidRPr="00F641C3">
              <w:rPr>
                <w:rFonts w:cs="Arial"/>
                <w:sz w:val="24"/>
                <w:szCs w:val="24"/>
              </w:rPr>
              <w:sym w:font="Wingdings" w:char="F072"/>
            </w:r>
            <w:r w:rsidR="00F641C3" w:rsidRPr="00F641C3">
              <w:rPr>
                <w:rFonts w:cs="Arial"/>
                <w:sz w:val="24"/>
                <w:szCs w:val="24"/>
              </w:rPr>
              <w:tab/>
            </w:r>
            <w:r w:rsidRPr="00F641C3">
              <w:rPr>
                <w:rFonts w:cs="Arial"/>
              </w:rPr>
              <w:t>No</w:t>
            </w:r>
          </w:p>
        </w:tc>
      </w:tr>
      <w:tr w:rsidR="004816C8" w:rsidRPr="00F641C3" w14:paraId="5558672C" w14:textId="77777777" w:rsidTr="00FC218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F660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  <w:r w:rsidRPr="00F641C3">
              <w:rPr>
                <w:rFonts w:cs="Arial"/>
              </w:rPr>
              <w:t>Website address to view this information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9FF7" w14:textId="77777777" w:rsidR="004816C8" w:rsidRPr="00F641C3" w:rsidRDefault="004816C8" w:rsidP="000648DF">
            <w:pPr>
              <w:spacing w:before="60" w:after="60"/>
              <w:rPr>
                <w:rFonts w:cs="Arial"/>
              </w:rPr>
            </w:pPr>
          </w:p>
        </w:tc>
      </w:tr>
    </w:tbl>
    <w:p w14:paraId="62A685B7" w14:textId="77777777" w:rsidR="004816C8" w:rsidRPr="00F641C3" w:rsidRDefault="004816C8" w:rsidP="000648DF">
      <w:pPr>
        <w:jc w:val="both"/>
        <w:rPr>
          <w:b/>
          <w:bCs/>
        </w:rPr>
      </w:pPr>
    </w:p>
    <w:sectPr w:rsidR="004816C8" w:rsidRPr="00F641C3" w:rsidSect="000648DF">
      <w:headerReference w:type="even" r:id="rId14"/>
      <w:head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851" w:bottom="993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16724" w14:textId="77777777" w:rsidR="00CB5D50" w:rsidRDefault="00CB5D50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7C6632E6" w14:textId="77777777" w:rsidR="00CB5D50" w:rsidRDefault="00CB5D50">
      <w:r>
        <w:continuationSeparator/>
      </w:r>
    </w:p>
  </w:endnote>
  <w:endnote w:type="continuationNotice" w:id="1">
    <w:p w14:paraId="71F1DB66" w14:textId="77777777" w:rsidR="00CB5D50" w:rsidRDefault="00CB5D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0FCE" w14:textId="3BF7CCCD" w:rsidR="001E1F2C" w:rsidRPr="004F46B0" w:rsidRDefault="00840AFA" w:rsidP="007B6D99">
    <w:pPr>
      <w:rPr>
        <w:vanish/>
      </w:rPr>
    </w:pPr>
    <w:r>
      <w:rPr>
        <w:vanish/>
      </w:rPr>
      <w:t>Hd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6818" w14:textId="77777777" w:rsidR="00CB5D50" w:rsidRDefault="00CB5D50" w:rsidP="009E7ADC">
      <w:pPr>
        <w:rPr>
          <w:sz w:val="18"/>
        </w:rPr>
      </w:pPr>
    </w:p>
  </w:footnote>
  <w:footnote w:type="continuationSeparator" w:id="0">
    <w:p w14:paraId="24EDC8C6" w14:textId="77777777" w:rsidR="00CB5D50" w:rsidRDefault="00CB5D50" w:rsidP="009E7ADC"/>
  </w:footnote>
  <w:footnote w:type="continuationNotice" w:id="1">
    <w:p w14:paraId="0834041A" w14:textId="77777777" w:rsidR="00CB5D50" w:rsidRDefault="00CB5D50" w:rsidP="004E2B3B"/>
  </w:footnote>
  <w:footnote w:id="2">
    <w:p w14:paraId="7A10544D" w14:textId="619936BC" w:rsidR="00893A00" w:rsidRPr="00893A00" w:rsidRDefault="00893A00">
      <w:pPr>
        <w:pStyle w:val="FootnoteText"/>
      </w:pPr>
      <w:r>
        <w:rPr>
          <w:rStyle w:val="FootnoteReference"/>
        </w:rPr>
        <w:footnoteRef/>
      </w:r>
      <w:r>
        <w:t xml:space="preserve"> If a </w:t>
      </w:r>
      <w:r w:rsidR="0007195D">
        <w:t xml:space="preserve">DO </w:t>
      </w:r>
      <w:r>
        <w:t>self-declares supplementary rates for</w:t>
      </w:r>
      <w:r w:rsidR="0007195D">
        <w:t xml:space="preserve"> the delivery of</w:t>
      </w:r>
      <w:r>
        <w:t xml:space="preserve"> parcel</w:t>
      </w:r>
      <w:r w:rsidR="0007195D">
        <w:t>s</w:t>
      </w:r>
      <w:r>
        <w:t xml:space="preserve"> in non-contiguous zones, a completed parcel remu</w:t>
      </w:r>
      <w:r w:rsidR="00F641C3">
        <w:softHyphen/>
      </w:r>
      <w:r>
        <w:t xml:space="preserve">neration rate calculation tool (available at: </w:t>
      </w:r>
      <w:r w:rsidR="00C06D93" w:rsidRPr="00DB3070">
        <w:rPr>
          <w:rStyle w:val="Strong"/>
          <w:b w:val="0"/>
          <w:bCs w:val="0"/>
        </w:rPr>
        <w:t>upu.int/</w:t>
      </w:r>
      <w:proofErr w:type="spellStart"/>
      <w:r w:rsidR="00C06D93" w:rsidRPr="00DB3070">
        <w:rPr>
          <w:rStyle w:val="Strong"/>
          <w:b w:val="0"/>
          <w:bCs w:val="0"/>
        </w:rPr>
        <w:t>en</w:t>
      </w:r>
      <w:proofErr w:type="spellEnd"/>
      <w:r w:rsidR="00C06D93" w:rsidRPr="00DB3070">
        <w:rPr>
          <w:rStyle w:val="Strong"/>
          <w:b w:val="0"/>
          <w:bCs w:val="0"/>
        </w:rPr>
        <w:t>/parcels</w:t>
      </w:r>
      <w:r>
        <w:t>) must be provided together with this notification.</w:t>
      </w:r>
    </w:p>
  </w:footnote>
  <w:footnote w:id="3">
    <w:p w14:paraId="159571A7" w14:textId="009C88FD" w:rsidR="001E1F2C" w:rsidRDefault="001E1F2C" w:rsidP="00C6678C">
      <w:pPr>
        <w:pStyle w:val="FootnoteText"/>
      </w:pPr>
      <w:r w:rsidRPr="00326D1C">
        <w:rPr>
          <w:rStyle w:val="FootnoteReference"/>
        </w:rPr>
        <w:footnoteRef/>
      </w:r>
      <w:r w:rsidRPr="00326D1C">
        <w:t xml:space="preserve"> </w:t>
      </w:r>
      <w:r w:rsidR="0030384B">
        <w:rPr>
          <w:lang w:val="en-US"/>
        </w:rPr>
        <w:t>Subject to the adoption by the POC of the proposal contained in POC C 2 2026.1</w:t>
      </w:r>
      <w:r w:rsidR="0007195D">
        <w:rPr>
          <w:lang w:val="en-US"/>
        </w:rPr>
        <w:t>–</w:t>
      </w:r>
      <w:r w:rsidR="0030384B">
        <w:rPr>
          <w:lang w:val="en-US"/>
        </w:rPr>
        <w:t>Doc 7.Annex 44</w:t>
      </w:r>
      <w:r w:rsidR="0030384B" w:rsidRPr="00236FA4">
        <w:t xml:space="preserve"> </w:t>
      </w:r>
      <w:r w:rsidR="0030384B">
        <w:rPr>
          <w:lang w:val="en-US"/>
        </w:rPr>
        <w:t xml:space="preserve">at </w:t>
      </w:r>
      <w:r w:rsidR="0007195D">
        <w:rPr>
          <w:lang w:val="en-US"/>
        </w:rPr>
        <w:t>the</w:t>
      </w:r>
      <w:r w:rsidR="0030384B">
        <w:rPr>
          <w:lang w:val="en-US"/>
        </w:rPr>
        <w:t xml:space="preserve"> 2026.1</w:t>
      </w:r>
      <w:r w:rsidR="0007195D">
        <w:rPr>
          <w:lang w:val="en-US"/>
        </w:rPr>
        <w:t xml:space="preserve"> POC</w:t>
      </w:r>
      <w:r w:rsidR="0030384B">
        <w:rPr>
          <w:lang w:val="en-US"/>
        </w:rPr>
        <w:t xml:space="preserve"> session (S1)</w:t>
      </w:r>
      <w:r w:rsidR="0007195D">
        <w:t xml:space="preserve">, </w:t>
      </w:r>
      <w:r w:rsidRPr="00326D1C">
        <w:t xml:space="preserve">if the </w:t>
      </w:r>
      <w:r w:rsidR="0007195D">
        <w:t xml:space="preserve">DO </w:t>
      </w:r>
      <w:r w:rsidRPr="00326D1C">
        <w:t>chooses to apply the average distance methodology to zonal tariffs, the average distance with supporting data must be provided before or with the official declaration.</w:t>
      </w:r>
      <w:r w:rsidR="00444852" w:rsidRPr="00444852">
        <w:t xml:space="preserve"> </w:t>
      </w:r>
      <w:r w:rsidR="00444852">
        <w:t xml:space="preserve">This </w:t>
      </w:r>
      <w:r w:rsidR="0030384B">
        <w:t xml:space="preserve">proposal </w:t>
      </w:r>
      <w:r w:rsidR="00444852">
        <w:t xml:space="preserve">is </w:t>
      </w:r>
      <w:r w:rsidR="0030384B">
        <w:t xml:space="preserve">proposed </w:t>
      </w:r>
      <w:r w:rsidR="007E15A4">
        <w:t>for</w:t>
      </w:r>
      <w:r w:rsidR="0030384B">
        <w:t xml:space="preserve"> ent</w:t>
      </w:r>
      <w:r w:rsidR="007E15A4">
        <w:t>ry</w:t>
      </w:r>
      <w:r w:rsidR="0030384B">
        <w:t xml:space="preserve"> into force on 1</w:t>
      </w:r>
      <w:r w:rsidR="00FC523B">
        <w:t> </w:t>
      </w:r>
      <w:r w:rsidR="0030384B">
        <w:t>January 2027</w:t>
      </w:r>
      <w:r w:rsidR="009C49BB">
        <w:t xml:space="preserve"> </w:t>
      </w:r>
      <w:r w:rsidR="0030384B">
        <w:t>and</w:t>
      </w:r>
      <w:r w:rsidR="001431D9">
        <w:t xml:space="preserve"> is</w:t>
      </w:r>
      <w:r w:rsidR="0030384B">
        <w:t xml:space="preserve"> consequential to</w:t>
      </w:r>
      <w:r w:rsidR="00F641C3">
        <w:t xml:space="preserve"> </w:t>
      </w:r>
      <w:r w:rsidR="00444852">
        <w:t>the decisions of the Dubai Congress.</w:t>
      </w:r>
    </w:p>
  </w:footnote>
  <w:footnote w:id="4">
    <w:p w14:paraId="37DF9EDF" w14:textId="5385ED34" w:rsidR="007E15A4" w:rsidRDefault="004816C8" w:rsidP="004816C8">
      <w:pPr>
        <w:pStyle w:val="FootnoteText"/>
      </w:pPr>
      <w:r w:rsidRPr="00326D1C">
        <w:rPr>
          <w:rStyle w:val="FootnoteReference"/>
        </w:rPr>
        <w:footnoteRef/>
      </w:r>
      <w:r w:rsidRPr="00326D1C">
        <w:t xml:space="preserve"> In accordance with </w:t>
      </w:r>
      <w:r>
        <w:t>a</w:t>
      </w:r>
      <w:r w:rsidRPr="00326D1C">
        <w:t>rticl</w:t>
      </w:r>
      <w:r w:rsidRPr="00D84B5B">
        <w:t xml:space="preserve">e </w:t>
      </w:r>
      <w:r>
        <w:t>33-201.4.4</w:t>
      </w:r>
      <w:r w:rsidRPr="00D84B5B">
        <w:t xml:space="preserve"> o</w:t>
      </w:r>
      <w:r w:rsidRPr="00326D1C">
        <w:t xml:space="preserve">f the Convention Regulations, if the </w:t>
      </w:r>
      <w:r w:rsidR="007E15A4">
        <w:t xml:space="preserve">DO </w:t>
      </w:r>
      <w:r w:rsidRPr="00326D1C">
        <w:t>chooses to apply the average distance methodology to zonal tariffs, the average distance with supporting data must be provided before or with the official decla</w:t>
      </w:r>
      <w:r w:rsidR="00F641C3">
        <w:softHyphen/>
      </w:r>
      <w:r w:rsidRPr="00326D1C">
        <w:t>ration.</w:t>
      </w:r>
      <w:r w:rsidR="00444852">
        <w:t xml:space="preserve"> This article is pending consequential amendments arising from the decisions of the Dubai Congress</w:t>
      </w:r>
      <w:r w:rsidR="007E15A4">
        <w:t xml:space="preserve"> </w:t>
      </w:r>
    </w:p>
    <w:p w14:paraId="441256DD" w14:textId="2CDB2385" w:rsidR="004816C8" w:rsidRDefault="009C49BB" w:rsidP="004816C8">
      <w:pPr>
        <w:pStyle w:val="FootnoteText"/>
      </w:pPr>
      <w:r>
        <w:t>a</w:t>
      </w:r>
      <w:r w:rsidR="007E15A4">
        <w:t>nd</w:t>
      </w:r>
      <w:r>
        <w:t xml:space="preserve"> is</w:t>
      </w:r>
      <w:r w:rsidR="00444852">
        <w:t xml:space="preserve"> proposed </w:t>
      </w:r>
      <w:r w:rsidR="007E15A4">
        <w:t>for entry</w:t>
      </w:r>
      <w:r w:rsidR="00444852">
        <w:t xml:space="preserve"> into force on 1 January 2027.</w:t>
      </w:r>
    </w:p>
  </w:footnote>
  <w:footnote w:id="5">
    <w:p w14:paraId="64C856A2" w14:textId="35C7FFE1" w:rsidR="004816C8" w:rsidRDefault="004816C8" w:rsidP="004816C8">
      <w:pPr>
        <w:pStyle w:val="FootnoteText"/>
      </w:pPr>
      <w:r w:rsidRPr="00326D1C">
        <w:rPr>
          <w:rStyle w:val="FootnoteReference"/>
        </w:rPr>
        <w:footnoteRef/>
      </w:r>
      <w:r w:rsidRPr="00326D1C">
        <w:t xml:space="preserve"> In accordance with </w:t>
      </w:r>
      <w:r>
        <w:t>a</w:t>
      </w:r>
      <w:r w:rsidRPr="00326D1C">
        <w:t>rticl</w:t>
      </w:r>
      <w:r w:rsidRPr="00D84B5B">
        <w:t xml:space="preserve">e </w:t>
      </w:r>
      <w:r>
        <w:t>33-201.4.4</w:t>
      </w:r>
      <w:r w:rsidRPr="00D84B5B">
        <w:t xml:space="preserve"> o</w:t>
      </w:r>
      <w:r w:rsidRPr="00326D1C">
        <w:t xml:space="preserve">f the Convention Regulations, if the </w:t>
      </w:r>
      <w:r w:rsidR="007E15A4">
        <w:t xml:space="preserve">DO </w:t>
      </w:r>
      <w:r w:rsidRPr="00326D1C">
        <w:t>chooses to apply the average distance methodology to zonal tariffs, the average distance with supporting data must be provided before or with the official decla</w:t>
      </w:r>
      <w:r w:rsidR="00F641C3">
        <w:softHyphen/>
      </w:r>
      <w:r w:rsidRPr="00326D1C">
        <w:t>ration.</w:t>
      </w:r>
      <w:r w:rsidR="00444852">
        <w:t xml:space="preserve"> This article is pending consequential amendments arising from the decisions of the Dubai Congress</w:t>
      </w:r>
      <w:r w:rsidR="007E15A4">
        <w:t xml:space="preserve"> and</w:t>
      </w:r>
      <w:r w:rsidR="00444852">
        <w:t xml:space="preserve"> </w:t>
      </w:r>
      <w:r w:rsidR="009C49BB">
        <w:t xml:space="preserve">is </w:t>
      </w:r>
      <w:r w:rsidR="00444852">
        <w:t xml:space="preserve">proposed </w:t>
      </w:r>
      <w:r w:rsidR="007E15A4">
        <w:t>for entry</w:t>
      </w:r>
      <w:r w:rsidR="00444852">
        <w:t xml:space="preserve"> into force on 1 January 2027.</w:t>
      </w:r>
    </w:p>
  </w:footnote>
  <w:footnote w:id="6">
    <w:p w14:paraId="6DFD65A6" w14:textId="39799F55" w:rsidR="004816C8" w:rsidRDefault="004816C8" w:rsidP="004816C8">
      <w:pPr>
        <w:pStyle w:val="FootnoteText"/>
      </w:pPr>
      <w:r w:rsidRPr="00326D1C">
        <w:rPr>
          <w:rStyle w:val="FootnoteReference"/>
        </w:rPr>
        <w:footnoteRef/>
      </w:r>
      <w:r w:rsidRPr="00326D1C">
        <w:t xml:space="preserve"> In accordance with </w:t>
      </w:r>
      <w:r>
        <w:t>a</w:t>
      </w:r>
      <w:r w:rsidRPr="00326D1C">
        <w:t>rticl</w:t>
      </w:r>
      <w:r w:rsidRPr="00D84B5B">
        <w:t xml:space="preserve">e </w:t>
      </w:r>
      <w:r>
        <w:t>33-201.4.4</w:t>
      </w:r>
      <w:r w:rsidRPr="00D84B5B">
        <w:t xml:space="preserve"> o</w:t>
      </w:r>
      <w:r w:rsidRPr="00326D1C">
        <w:t xml:space="preserve">f the Convention Regulations, if the </w:t>
      </w:r>
      <w:r w:rsidR="007E15A4">
        <w:t xml:space="preserve">DO </w:t>
      </w:r>
      <w:r w:rsidRPr="00326D1C">
        <w:t>chooses to apply the average distance methodology to zonal tariffs, the average distance with supporting data must be provided before or with the official decla</w:t>
      </w:r>
      <w:r w:rsidR="00F641C3">
        <w:softHyphen/>
      </w:r>
      <w:r w:rsidRPr="00326D1C">
        <w:t>ration.</w:t>
      </w:r>
      <w:r w:rsidR="00444852" w:rsidRPr="00444852">
        <w:t xml:space="preserve"> </w:t>
      </w:r>
      <w:r w:rsidR="00444852">
        <w:t>This article is pending consequential amendments arising from the decisions of the Dubai Congress</w:t>
      </w:r>
      <w:r w:rsidR="007E15A4">
        <w:t xml:space="preserve"> and</w:t>
      </w:r>
      <w:r w:rsidR="009C49BB">
        <w:t xml:space="preserve"> is</w:t>
      </w:r>
      <w:r w:rsidR="00444852">
        <w:t xml:space="preserve"> proposed </w:t>
      </w:r>
      <w:r w:rsidR="007E15A4">
        <w:t>for entry</w:t>
      </w:r>
      <w:r w:rsidR="00444852">
        <w:t xml:space="preserve"> into force on 1 January 2027.</w:t>
      </w:r>
    </w:p>
  </w:footnote>
  <w:footnote w:id="7">
    <w:p w14:paraId="20649FE1" w14:textId="15D0E200" w:rsidR="004816C8" w:rsidRDefault="004816C8" w:rsidP="004816C8">
      <w:pPr>
        <w:pStyle w:val="FootnoteText"/>
      </w:pPr>
      <w:r w:rsidRPr="00326D1C">
        <w:rPr>
          <w:rStyle w:val="FootnoteReference"/>
        </w:rPr>
        <w:footnoteRef/>
      </w:r>
      <w:r w:rsidRPr="00326D1C">
        <w:t xml:space="preserve"> In accordance with </w:t>
      </w:r>
      <w:r>
        <w:t>a</w:t>
      </w:r>
      <w:r w:rsidRPr="00326D1C">
        <w:t>rticl</w:t>
      </w:r>
      <w:r w:rsidRPr="00D84B5B">
        <w:t xml:space="preserve">e </w:t>
      </w:r>
      <w:r>
        <w:t>33-201.4.4</w:t>
      </w:r>
      <w:r w:rsidRPr="00D84B5B">
        <w:t xml:space="preserve"> o</w:t>
      </w:r>
      <w:r w:rsidRPr="00326D1C">
        <w:t xml:space="preserve">f the Convention Regulations, if the </w:t>
      </w:r>
      <w:r w:rsidR="007E15A4">
        <w:t xml:space="preserve">DO </w:t>
      </w:r>
      <w:r w:rsidRPr="00326D1C">
        <w:t>chooses to apply the average distance methodology to zonal tariffs, the average distance with supporting data must be provided before or with the official decla</w:t>
      </w:r>
      <w:r w:rsidR="00F641C3">
        <w:softHyphen/>
      </w:r>
      <w:r w:rsidRPr="00326D1C">
        <w:t>ration.</w:t>
      </w:r>
      <w:r w:rsidR="00444852" w:rsidRPr="00444852">
        <w:t xml:space="preserve"> </w:t>
      </w:r>
      <w:r w:rsidR="00444852">
        <w:t xml:space="preserve">This article is pending consequential amendments arising from the decisions of the Dubai Congress </w:t>
      </w:r>
      <w:r w:rsidR="000C7679">
        <w:t>and</w:t>
      </w:r>
      <w:r w:rsidR="009C49BB">
        <w:t xml:space="preserve"> is</w:t>
      </w:r>
      <w:r w:rsidR="000C7679">
        <w:t xml:space="preserve"> </w:t>
      </w:r>
      <w:r w:rsidR="00444852">
        <w:t xml:space="preserve">proposed </w:t>
      </w:r>
      <w:r w:rsidR="000C7679">
        <w:t>for</w:t>
      </w:r>
      <w:r w:rsidR="00444852">
        <w:t xml:space="preserve"> ent</w:t>
      </w:r>
      <w:r w:rsidR="000C7679">
        <w:t>ry</w:t>
      </w:r>
      <w:r w:rsidR="00444852">
        <w:t xml:space="preserve"> into force on 1 January 2027.</w:t>
      </w:r>
    </w:p>
  </w:footnote>
  <w:footnote w:id="8">
    <w:p w14:paraId="4C967DB4" w14:textId="24E5D8E6" w:rsidR="004816C8" w:rsidRDefault="004816C8" w:rsidP="004816C8">
      <w:pPr>
        <w:pStyle w:val="FootnoteText"/>
      </w:pPr>
      <w:r w:rsidRPr="00326D1C">
        <w:rPr>
          <w:rStyle w:val="FootnoteReference"/>
        </w:rPr>
        <w:footnoteRef/>
      </w:r>
      <w:r w:rsidRPr="00326D1C">
        <w:t xml:space="preserve"> In accordance with </w:t>
      </w:r>
      <w:r>
        <w:t>a</w:t>
      </w:r>
      <w:r w:rsidRPr="00326D1C">
        <w:t>rticl</w:t>
      </w:r>
      <w:r w:rsidRPr="00D84B5B">
        <w:t xml:space="preserve">e </w:t>
      </w:r>
      <w:r>
        <w:t>33-201.4.4</w:t>
      </w:r>
      <w:r w:rsidRPr="00D84B5B">
        <w:t xml:space="preserve"> o</w:t>
      </w:r>
      <w:r w:rsidRPr="00326D1C">
        <w:t xml:space="preserve">f the Convention Regulations, if the </w:t>
      </w:r>
      <w:r w:rsidR="000C7679">
        <w:t xml:space="preserve">DO </w:t>
      </w:r>
      <w:r w:rsidRPr="00326D1C">
        <w:t>chooses to apply the average distance methodology to zonal tariffs, the average distance with supporting data must be provided before or with the official decla</w:t>
      </w:r>
      <w:r w:rsidR="00F641C3">
        <w:softHyphen/>
      </w:r>
      <w:r w:rsidRPr="00326D1C">
        <w:t>ration.</w:t>
      </w:r>
      <w:r w:rsidR="00444852" w:rsidRPr="00444852">
        <w:t xml:space="preserve"> </w:t>
      </w:r>
      <w:r w:rsidR="00444852">
        <w:t>This article is pending consequential amendments arising from the decisions of the Dubai Congress</w:t>
      </w:r>
      <w:r w:rsidR="000C7679">
        <w:t xml:space="preserve"> and</w:t>
      </w:r>
      <w:r w:rsidR="009C49BB">
        <w:t xml:space="preserve"> is</w:t>
      </w:r>
      <w:r w:rsidR="00444852">
        <w:t xml:space="preserve"> proposed </w:t>
      </w:r>
      <w:r w:rsidR="000C7679">
        <w:t>for</w:t>
      </w:r>
      <w:r w:rsidR="00444852">
        <w:t xml:space="preserve"> ent</w:t>
      </w:r>
      <w:r w:rsidR="000C7679">
        <w:t>ry</w:t>
      </w:r>
      <w:r w:rsidR="00444852">
        <w:t xml:space="preserve"> into force on 1 January 2027.</w:t>
      </w:r>
    </w:p>
  </w:footnote>
  <w:footnote w:id="9">
    <w:p w14:paraId="3B7AF5C7" w14:textId="70A99B4B" w:rsidR="004816C8" w:rsidRDefault="004816C8" w:rsidP="004816C8">
      <w:pPr>
        <w:pStyle w:val="FootnoteText"/>
      </w:pPr>
      <w:r w:rsidRPr="00326D1C">
        <w:rPr>
          <w:rStyle w:val="FootnoteReference"/>
        </w:rPr>
        <w:footnoteRef/>
      </w:r>
      <w:r w:rsidRPr="00326D1C">
        <w:t xml:space="preserve"> In accordance with </w:t>
      </w:r>
      <w:r>
        <w:t>a</w:t>
      </w:r>
      <w:r w:rsidRPr="00326D1C">
        <w:t>rticl</w:t>
      </w:r>
      <w:r w:rsidRPr="00D84B5B">
        <w:t xml:space="preserve">e </w:t>
      </w:r>
      <w:r>
        <w:t>33-201.4.4</w:t>
      </w:r>
      <w:r w:rsidRPr="00D84B5B">
        <w:t xml:space="preserve"> o</w:t>
      </w:r>
      <w:r w:rsidRPr="00326D1C">
        <w:t xml:space="preserve">f the Convention Regulations, if the </w:t>
      </w:r>
      <w:r w:rsidR="000C7679">
        <w:t xml:space="preserve">DO </w:t>
      </w:r>
      <w:r w:rsidRPr="00326D1C">
        <w:t>chooses to apply the average distance methodology to zonal tariffs, the average distance with supporting data must be provided before or with the official decla</w:t>
      </w:r>
      <w:r w:rsidR="00F641C3">
        <w:softHyphen/>
      </w:r>
      <w:r w:rsidRPr="00326D1C">
        <w:t>ration.</w:t>
      </w:r>
      <w:r w:rsidR="00444852" w:rsidRPr="00444852">
        <w:t xml:space="preserve"> </w:t>
      </w:r>
      <w:r w:rsidR="00444852">
        <w:t>This article is pending consequential amendments arising from the decisions of the Dubai Congress</w:t>
      </w:r>
      <w:r w:rsidR="000C7679">
        <w:t xml:space="preserve"> and</w:t>
      </w:r>
      <w:r w:rsidR="009C49BB">
        <w:t xml:space="preserve"> is</w:t>
      </w:r>
      <w:r w:rsidR="00444852">
        <w:t xml:space="preserve"> proposed </w:t>
      </w:r>
      <w:r w:rsidR="000C7679">
        <w:t>for entry</w:t>
      </w:r>
      <w:r w:rsidR="00444852">
        <w:t xml:space="preserve"> into force on 1 January 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C94D" w14:textId="77777777" w:rsidR="001E1F2C" w:rsidRDefault="001E1F2C">
    <w:pPr>
      <w:jc w:val="center"/>
    </w:pPr>
    <w:r>
      <w:pgNum/>
    </w:r>
  </w:p>
  <w:p w14:paraId="67DA6A15" w14:textId="77777777" w:rsidR="001E1F2C" w:rsidRDefault="001E1F2C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7054" w14:textId="77777777" w:rsidR="001E1F2C" w:rsidRDefault="001E1F2C" w:rsidP="00F639BA">
    <w:pPr>
      <w:jc w:val="center"/>
    </w:pPr>
    <w:r>
      <w:pgNum/>
    </w:r>
  </w:p>
  <w:p w14:paraId="5AD51B1C" w14:textId="77777777" w:rsidR="001E1F2C" w:rsidRDefault="001E1F2C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1E1F2C" w:rsidRPr="00024935" w14:paraId="455171CD" w14:textId="77777777">
      <w:trPr>
        <w:trHeight w:val="1418"/>
      </w:trPr>
      <w:tc>
        <w:tcPr>
          <w:tcW w:w="3969" w:type="dxa"/>
        </w:tcPr>
        <w:p w14:paraId="43B22EFA" w14:textId="77777777" w:rsidR="001E1F2C" w:rsidRPr="00024935" w:rsidRDefault="001E1F2C" w:rsidP="00AE0D85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rFonts w:ascii="45 Helvetica Light" w:hAnsi="45 Helvetica Light"/>
              <w:noProof/>
              <w:sz w:val="18"/>
              <w:lang w:val="en-US" w:eastAsia="en-US"/>
            </w:rPr>
            <w:drawing>
              <wp:inline distT="0" distB="0" distL="0" distR="0" wp14:anchorId="5A4E98B8" wp14:editId="1445BB17">
                <wp:extent cx="1638300" cy="457200"/>
                <wp:effectExtent l="0" t="0" r="0" b="0"/>
                <wp:docPr id="15" name="Picture 1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14476D79" w14:textId="77777777" w:rsidR="001E1F2C" w:rsidRDefault="001E1F2C" w:rsidP="00145CCB">
          <w:pPr>
            <w:autoSpaceDE w:val="0"/>
            <w:autoSpaceDN w:val="0"/>
            <w:adjustRightInd w:val="0"/>
            <w:jc w:val="right"/>
            <w:rPr>
              <w:rFonts w:cs="Arial"/>
            </w:rPr>
          </w:pPr>
          <w:r w:rsidRPr="00E474F7">
            <w:rPr>
              <w:rFonts w:cs="Arial"/>
            </w:rPr>
            <w:t xml:space="preserve">Annex </w:t>
          </w:r>
          <w:r w:rsidR="00762DB1">
            <w:rPr>
              <w:rFonts w:cs="Arial"/>
            </w:rPr>
            <w:t>1</w:t>
          </w:r>
          <w:r w:rsidRPr="00E474F7">
            <w:rPr>
              <w:rFonts w:cs="Arial"/>
            </w:rPr>
            <w:t xml:space="preserve"> to letter </w:t>
          </w:r>
          <w:r w:rsidR="00992D8E" w:rsidRPr="00E474F7">
            <w:rPr>
              <w:rFonts w:cs="Arial"/>
            </w:rPr>
            <w:t>0426(DPRM.PPRE.RDI)</w:t>
          </w:r>
          <w:r w:rsidR="00D238DA">
            <w:rPr>
              <w:rFonts w:cs="Arial"/>
            </w:rPr>
            <w:t>1026</w:t>
          </w:r>
        </w:p>
        <w:p w14:paraId="793D7228" w14:textId="11B2B17F" w:rsidR="00FE51EA" w:rsidRPr="00024935" w:rsidRDefault="00FE51EA" w:rsidP="00145CCB">
          <w:pPr>
            <w:autoSpaceDE w:val="0"/>
            <w:autoSpaceDN w:val="0"/>
            <w:adjustRightInd w:val="0"/>
            <w:jc w:val="right"/>
          </w:pPr>
          <w:r w:rsidRPr="00024935">
            <w:rPr>
              <w:rFonts w:cs="Arial"/>
            </w:rPr>
            <w:t xml:space="preserve">of </w:t>
          </w:r>
          <w:r>
            <w:rPr>
              <w:rFonts w:cs="Arial"/>
            </w:rPr>
            <w:t>26 March 2026</w:t>
          </w:r>
        </w:p>
      </w:tc>
    </w:tr>
  </w:tbl>
  <w:p w14:paraId="60879652" w14:textId="1D72F775" w:rsidR="001E1F2C" w:rsidRPr="00024935" w:rsidRDefault="001E1F2C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4AC7"/>
    <w:multiLevelType w:val="hybridMultilevel"/>
    <w:tmpl w:val="FEC46B38"/>
    <w:lvl w:ilvl="0" w:tplc="596E311A">
      <w:numFmt w:val="bullet"/>
      <w:lvlText w:val="–"/>
      <w:lvlJc w:val="left"/>
      <w:pPr>
        <w:ind w:left="1287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1F55F1"/>
    <w:multiLevelType w:val="singleLevel"/>
    <w:tmpl w:val="9C4A55B2"/>
    <w:lvl w:ilvl="0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DA519FE"/>
    <w:multiLevelType w:val="singleLevel"/>
    <w:tmpl w:val="9ADC5EB6"/>
    <w:lvl w:ilvl="0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C962397"/>
    <w:multiLevelType w:val="hybridMultilevel"/>
    <w:tmpl w:val="C7EC4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657"/>
    <w:multiLevelType w:val="hybridMultilevel"/>
    <w:tmpl w:val="D16E0636"/>
    <w:lvl w:ilvl="0" w:tplc="B8CE624E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53176D68"/>
    <w:multiLevelType w:val="hybridMultilevel"/>
    <w:tmpl w:val="F446B4CE"/>
    <w:lvl w:ilvl="0" w:tplc="B9D23536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5A331DDC"/>
    <w:multiLevelType w:val="hybridMultilevel"/>
    <w:tmpl w:val="6058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64154402"/>
    <w:multiLevelType w:val="hybridMultilevel"/>
    <w:tmpl w:val="6CD0E134"/>
    <w:lvl w:ilvl="0" w:tplc="B3B80C3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B125E"/>
    <w:multiLevelType w:val="singleLevel"/>
    <w:tmpl w:val="0F1C0B60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8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9" w15:restartNumberingAfterBreak="0">
    <w:nsid w:val="6ED368D8"/>
    <w:multiLevelType w:val="hybridMultilevel"/>
    <w:tmpl w:val="F1365CFA"/>
    <w:lvl w:ilvl="0" w:tplc="6FE421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2EB7474"/>
    <w:multiLevelType w:val="hybridMultilevel"/>
    <w:tmpl w:val="B81218A8"/>
    <w:lvl w:ilvl="0" w:tplc="3934FD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7A881468"/>
    <w:multiLevelType w:val="hybridMultilevel"/>
    <w:tmpl w:val="6F06C174"/>
    <w:lvl w:ilvl="0" w:tplc="3C42FC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21"/>
  </w:num>
  <w:num w:numId="7">
    <w:abstractNumId w:val="23"/>
  </w:num>
  <w:num w:numId="8">
    <w:abstractNumId w:val="4"/>
  </w:num>
  <w:num w:numId="9">
    <w:abstractNumId w:val="2"/>
  </w:num>
  <w:num w:numId="10">
    <w:abstractNumId w:val="15"/>
  </w:num>
  <w:num w:numId="11">
    <w:abstractNumId w:val="13"/>
  </w:num>
  <w:num w:numId="12">
    <w:abstractNumId w:val="18"/>
  </w:num>
  <w:num w:numId="13">
    <w:abstractNumId w:val="1"/>
  </w:num>
  <w:num w:numId="14">
    <w:abstractNumId w:val="17"/>
  </w:num>
  <w:num w:numId="15">
    <w:abstractNumId w:val="3"/>
  </w:num>
  <w:num w:numId="16">
    <w:abstractNumId w:val="17"/>
  </w:num>
  <w:num w:numId="17">
    <w:abstractNumId w:val="1"/>
  </w:num>
  <w:num w:numId="18">
    <w:abstractNumId w:val="3"/>
  </w:num>
  <w:num w:numId="19">
    <w:abstractNumId w:val="16"/>
  </w:num>
  <w:num w:numId="20">
    <w:abstractNumId w:val="12"/>
  </w:num>
  <w:num w:numId="21">
    <w:abstractNumId w:val="1"/>
  </w:num>
  <w:num w:numId="22">
    <w:abstractNumId w:val="17"/>
  </w:num>
  <w:num w:numId="23">
    <w:abstractNumId w:val="3"/>
  </w:num>
  <w:num w:numId="24">
    <w:abstractNumId w:val="20"/>
  </w:num>
  <w:num w:numId="25">
    <w:abstractNumId w:val="7"/>
  </w:num>
  <w:num w:numId="26">
    <w:abstractNumId w:val="19"/>
  </w:num>
  <w:num w:numId="27">
    <w:abstractNumId w:val="22"/>
  </w:num>
  <w:num w:numId="28">
    <w:abstractNumId w:val="14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C5"/>
    <w:rsid w:val="000021DD"/>
    <w:rsid w:val="00004D2B"/>
    <w:rsid w:val="00021391"/>
    <w:rsid w:val="0002298F"/>
    <w:rsid w:val="00023669"/>
    <w:rsid w:val="00024935"/>
    <w:rsid w:val="00026EC5"/>
    <w:rsid w:val="00037E81"/>
    <w:rsid w:val="00042B2E"/>
    <w:rsid w:val="000465C9"/>
    <w:rsid w:val="00051A48"/>
    <w:rsid w:val="000528D1"/>
    <w:rsid w:val="00063B6C"/>
    <w:rsid w:val="000648DF"/>
    <w:rsid w:val="00065546"/>
    <w:rsid w:val="0007187C"/>
    <w:rsid w:val="0007195D"/>
    <w:rsid w:val="000764E9"/>
    <w:rsid w:val="000B207B"/>
    <w:rsid w:val="000B24C3"/>
    <w:rsid w:val="000C3C1B"/>
    <w:rsid w:val="000C5FD3"/>
    <w:rsid w:val="000C7679"/>
    <w:rsid w:val="000D1BB1"/>
    <w:rsid w:val="000D390D"/>
    <w:rsid w:val="000E0AB2"/>
    <w:rsid w:val="000E64FA"/>
    <w:rsid w:val="000E7B98"/>
    <w:rsid w:val="000F70A4"/>
    <w:rsid w:val="001006F4"/>
    <w:rsid w:val="00104E59"/>
    <w:rsid w:val="00104F21"/>
    <w:rsid w:val="0011269C"/>
    <w:rsid w:val="00121A6F"/>
    <w:rsid w:val="00134E0E"/>
    <w:rsid w:val="001406C7"/>
    <w:rsid w:val="001431D9"/>
    <w:rsid w:val="001440AB"/>
    <w:rsid w:val="00145CCB"/>
    <w:rsid w:val="001567C5"/>
    <w:rsid w:val="00156AF2"/>
    <w:rsid w:val="00161F92"/>
    <w:rsid w:val="0017006D"/>
    <w:rsid w:val="00170D9B"/>
    <w:rsid w:val="00171E57"/>
    <w:rsid w:val="00172757"/>
    <w:rsid w:val="00177C4B"/>
    <w:rsid w:val="001813EE"/>
    <w:rsid w:val="001972FE"/>
    <w:rsid w:val="001A4314"/>
    <w:rsid w:val="001A7E21"/>
    <w:rsid w:val="001B200E"/>
    <w:rsid w:val="001C3C43"/>
    <w:rsid w:val="001C5DA3"/>
    <w:rsid w:val="001E0CB7"/>
    <w:rsid w:val="001E1F2C"/>
    <w:rsid w:val="001E3A46"/>
    <w:rsid w:val="001F020C"/>
    <w:rsid w:val="001F1C20"/>
    <w:rsid w:val="001F7D7B"/>
    <w:rsid w:val="0020171F"/>
    <w:rsid w:val="00203B1A"/>
    <w:rsid w:val="00225DA3"/>
    <w:rsid w:val="00230456"/>
    <w:rsid w:val="00232DCA"/>
    <w:rsid w:val="00234621"/>
    <w:rsid w:val="00240E8B"/>
    <w:rsid w:val="002613C3"/>
    <w:rsid w:val="00261EAE"/>
    <w:rsid w:val="0026706D"/>
    <w:rsid w:val="00272937"/>
    <w:rsid w:val="00274055"/>
    <w:rsid w:val="0027721A"/>
    <w:rsid w:val="00282124"/>
    <w:rsid w:val="0029168C"/>
    <w:rsid w:val="00292517"/>
    <w:rsid w:val="0029440B"/>
    <w:rsid w:val="00294B59"/>
    <w:rsid w:val="002A3142"/>
    <w:rsid w:val="002A5C98"/>
    <w:rsid w:val="002A663B"/>
    <w:rsid w:val="002B1019"/>
    <w:rsid w:val="002B1B7A"/>
    <w:rsid w:val="002B2A67"/>
    <w:rsid w:val="002B66E8"/>
    <w:rsid w:val="002C3576"/>
    <w:rsid w:val="002F7773"/>
    <w:rsid w:val="003002DC"/>
    <w:rsid w:val="0030384B"/>
    <w:rsid w:val="00305351"/>
    <w:rsid w:val="003104EA"/>
    <w:rsid w:val="003118BD"/>
    <w:rsid w:val="00317B10"/>
    <w:rsid w:val="00317E87"/>
    <w:rsid w:val="00325076"/>
    <w:rsid w:val="00325132"/>
    <w:rsid w:val="00326D1C"/>
    <w:rsid w:val="00327B0B"/>
    <w:rsid w:val="00331C6E"/>
    <w:rsid w:val="003405FB"/>
    <w:rsid w:val="003407BC"/>
    <w:rsid w:val="00342CD6"/>
    <w:rsid w:val="00343FF6"/>
    <w:rsid w:val="00355163"/>
    <w:rsid w:val="00361DE6"/>
    <w:rsid w:val="0036607E"/>
    <w:rsid w:val="00367849"/>
    <w:rsid w:val="00372B67"/>
    <w:rsid w:val="0037420A"/>
    <w:rsid w:val="003750AE"/>
    <w:rsid w:val="00376861"/>
    <w:rsid w:val="003A33C5"/>
    <w:rsid w:val="003A3AAE"/>
    <w:rsid w:val="003A4D77"/>
    <w:rsid w:val="003B0438"/>
    <w:rsid w:val="003B1F46"/>
    <w:rsid w:val="003D0BA4"/>
    <w:rsid w:val="003F351E"/>
    <w:rsid w:val="00407587"/>
    <w:rsid w:val="00415C4B"/>
    <w:rsid w:val="00422F57"/>
    <w:rsid w:val="00437CB5"/>
    <w:rsid w:val="00444852"/>
    <w:rsid w:val="004558EF"/>
    <w:rsid w:val="00457A43"/>
    <w:rsid w:val="0046077D"/>
    <w:rsid w:val="004611D5"/>
    <w:rsid w:val="00471CE5"/>
    <w:rsid w:val="00476057"/>
    <w:rsid w:val="004816C8"/>
    <w:rsid w:val="0048190D"/>
    <w:rsid w:val="00490D84"/>
    <w:rsid w:val="004A31FB"/>
    <w:rsid w:val="004A3CA2"/>
    <w:rsid w:val="004A66E9"/>
    <w:rsid w:val="004A6F3C"/>
    <w:rsid w:val="004A7796"/>
    <w:rsid w:val="004C1FE9"/>
    <w:rsid w:val="004C4EBF"/>
    <w:rsid w:val="004C6BEE"/>
    <w:rsid w:val="004D03CA"/>
    <w:rsid w:val="004D221E"/>
    <w:rsid w:val="004D2DA6"/>
    <w:rsid w:val="004E05F3"/>
    <w:rsid w:val="004E1F28"/>
    <w:rsid w:val="004E2B3B"/>
    <w:rsid w:val="004E63E4"/>
    <w:rsid w:val="004F46B0"/>
    <w:rsid w:val="004F71C6"/>
    <w:rsid w:val="005120F9"/>
    <w:rsid w:val="0051701F"/>
    <w:rsid w:val="00527FF5"/>
    <w:rsid w:val="005345AF"/>
    <w:rsid w:val="00562004"/>
    <w:rsid w:val="0056201C"/>
    <w:rsid w:val="00565476"/>
    <w:rsid w:val="00570EDB"/>
    <w:rsid w:val="005749CB"/>
    <w:rsid w:val="005756A0"/>
    <w:rsid w:val="00575A91"/>
    <w:rsid w:val="00577828"/>
    <w:rsid w:val="00590BBB"/>
    <w:rsid w:val="005A1FD5"/>
    <w:rsid w:val="005A585B"/>
    <w:rsid w:val="005B20C7"/>
    <w:rsid w:val="005B3DA1"/>
    <w:rsid w:val="005C2838"/>
    <w:rsid w:val="005C4305"/>
    <w:rsid w:val="005D36DD"/>
    <w:rsid w:val="005D36F8"/>
    <w:rsid w:val="005D42D7"/>
    <w:rsid w:val="005D6C35"/>
    <w:rsid w:val="005D7F27"/>
    <w:rsid w:val="005E5DC2"/>
    <w:rsid w:val="005F0892"/>
    <w:rsid w:val="005F4A1C"/>
    <w:rsid w:val="005F6E6F"/>
    <w:rsid w:val="0060640F"/>
    <w:rsid w:val="006140F1"/>
    <w:rsid w:val="00625B37"/>
    <w:rsid w:val="00637585"/>
    <w:rsid w:val="006439DE"/>
    <w:rsid w:val="0065226B"/>
    <w:rsid w:val="00653717"/>
    <w:rsid w:val="00653FFD"/>
    <w:rsid w:val="0065456D"/>
    <w:rsid w:val="00654B91"/>
    <w:rsid w:val="00655E2C"/>
    <w:rsid w:val="00656A8B"/>
    <w:rsid w:val="0065769C"/>
    <w:rsid w:val="00671A0E"/>
    <w:rsid w:val="006724B1"/>
    <w:rsid w:val="00676905"/>
    <w:rsid w:val="006A79AB"/>
    <w:rsid w:val="006B1882"/>
    <w:rsid w:val="006B3E04"/>
    <w:rsid w:val="006C019C"/>
    <w:rsid w:val="006C039A"/>
    <w:rsid w:val="006C47EF"/>
    <w:rsid w:val="006D10F5"/>
    <w:rsid w:val="006D4340"/>
    <w:rsid w:val="006D5D8D"/>
    <w:rsid w:val="006E36B1"/>
    <w:rsid w:val="00707229"/>
    <w:rsid w:val="00717D08"/>
    <w:rsid w:val="00734FAC"/>
    <w:rsid w:val="00736EE4"/>
    <w:rsid w:val="0074160B"/>
    <w:rsid w:val="00756C4A"/>
    <w:rsid w:val="00757BB9"/>
    <w:rsid w:val="00761DEC"/>
    <w:rsid w:val="0076291C"/>
    <w:rsid w:val="00762DB1"/>
    <w:rsid w:val="00765B70"/>
    <w:rsid w:val="00767296"/>
    <w:rsid w:val="0077420D"/>
    <w:rsid w:val="00780CBD"/>
    <w:rsid w:val="00783C7C"/>
    <w:rsid w:val="00784E5D"/>
    <w:rsid w:val="007A2839"/>
    <w:rsid w:val="007A5281"/>
    <w:rsid w:val="007A6867"/>
    <w:rsid w:val="007A71CA"/>
    <w:rsid w:val="007B1781"/>
    <w:rsid w:val="007B382F"/>
    <w:rsid w:val="007B6036"/>
    <w:rsid w:val="007B6D99"/>
    <w:rsid w:val="007C679A"/>
    <w:rsid w:val="007D07CD"/>
    <w:rsid w:val="007D2933"/>
    <w:rsid w:val="007D6956"/>
    <w:rsid w:val="007E0555"/>
    <w:rsid w:val="007E0A42"/>
    <w:rsid w:val="007E15A4"/>
    <w:rsid w:val="007F2294"/>
    <w:rsid w:val="007F6E68"/>
    <w:rsid w:val="0081278C"/>
    <w:rsid w:val="00840AFA"/>
    <w:rsid w:val="00857B50"/>
    <w:rsid w:val="00865365"/>
    <w:rsid w:val="00871D92"/>
    <w:rsid w:val="0087570D"/>
    <w:rsid w:val="00893A00"/>
    <w:rsid w:val="00893FAF"/>
    <w:rsid w:val="00894CD8"/>
    <w:rsid w:val="00897E26"/>
    <w:rsid w:val="008A5A68"/>
    <w:rsid w:val="008B7E25"/>
    <w:rsid w:val="008C3BCC"/>
    <w:rsid w:val="008D1543"/>
    <w:rsid w:val="008D3810"/>
    <w:rsid w:val="008D574E"/>
    <w:rsid w:val="008E54AA"/>
    <w:rsid w:val="008E7619"/>
    <w:rsid w:val="008E7F76"/>
    <w:rsid w:val="008F12A9"/>
    <w:rsid w:val="008F6845"/>
    <w:rsid w:val="00901778"/>
    <w:rsid w:val="0091074C"/>
    <w:rsid w:val="0092560B"/>
    <w:rsid w:val="009268A7"/>
    <w:rsid w:val="00932DC4"/>
    <w:rsid w:val="009434D3"/>
    <w:rsid w:val="0095297F"/>
    <w:rsid w:val="009569DE"/>
    <w:rsid w:val="00957C85"/>
    <w:rsid w:val="00957FCD"/>
    <w:rsid w:val="00962C2F"/>
    <w:rsid w:val="00965187"/>
    <w:rsid w:val="00971EF0"/>
    <w:rsid w:val="00974119"/>
    <w:rsid w:val="00975660"/>
    <w:rsid w:val="00976243"/>
    <w:rsid w:val="00992D8E"/>
    <w:rsid w:val="00996FC9"/>
    <w:rsid w:val="009B3517"/>
    <w:rsid w:val="009B449A"/>
    <w:rsid w:val="009B6E11"/>
    <w:rsid w:val="009C49BB"/>
    <w:rsid w:val="009C5BD0"/>
    <w:rsid w:val="009D0F1A"/>
    <w:rsid w:val="009D77AD"/>
    <w:rsid w:val="009E3C35"/>
    <w:rsid w:val="009E74B5"/>
    <w:rsid w:val="009E7ADC"/>
    <w:rsid w:val="009F02C0"/>
    <w:rsid w:val="009F0973"/>
    <w:rsid w:val="009F110E"/>
    <w:rsid w:val="009F36E2"/>
    <w:rsid w:val="00A0612D"/>
    <w:rsid w:val="00A06C89"/>
    <w:rsid w:val="00A2134C"/>
    <w:rsid w:val="00A24AC7"/>
    <w:rsid w:val="00A26172"/>
    <w:rsid w:val="00A418A0"/>
    <w:rsid w:val="00A455D1"/>
    <w:rsid w:val="00A53E1E"/>
    <w:rsid w:val="00A5792F"/>
    <w:rsid w:val="00A6703E"/>
    <w:rsid w:val="00A73891"/>
    <w:rsid w:val="00A809D7"/>
    <w:rsid w:val="00A908A6"/>
    <w:rsid w:val="00A92377"/>
    <w:rsid w:val="00AA01D2"/>
    <w:rsid w:val="00AA61ED"/>
    <w:rsid w:val="00AB1169"/>
    <w:rsid w:val="00AB7653"/>
    <w:rsid w:val="00AC2359"/>
    <w:rsid w:val="00AD26E8"/>
    <w:rsid w:val="00AE0D85"/>
    <w:rsid w:val="00AE0FF1"/>
    <w:rsid w:val="00AE2BF2"/>
    <w:rsid w:val="00AE706A"/>
    <w:rsid w:val="00AF2801"/>
    <w:rsid w:val="00AF3FCA"/>
    <w:rsid w:val="00B00E3F"/>
    <w:rsid w:val="00B010D9"/>
    <w:rsid w:val="00B11447"/>
    <w:rsid w:val="00B122B5"/>
    <w:rsid w:val="00B13AB9"/>
    <w:rsid w:val="00B1711E"/>
    <w:rsid w:val="00B262DA"/>
    <w:rsid w:val="00B30CB2"/>
    <w:rsid w:val="00B40E14"/>
    <w:rsid w:val="00B4121C"/>
    <w:rsid w:val="00B458DD"/>
    <w:rsid w:val="00B64FB3"/>
    <w:rsid w:val="00B660E8"/>
    <w:rsid w:val="00B7190D"/>
    <w:rsid w:val="00B73E80"/>
    <w:rsid w:val="00B74203"/>
    <w:rsid w:val="00B838AD"/>
    <w:rsid w:val="00B86608"/>
    <w:rsid w:val="00B90299"/>
    <w:rsid w:val="00BA404F"/>
    <w:rsid w:val="00BA6EF4"/>
    <w:rsid w:val="00BA7BD8"/>
    <w:rsid w:val="00BB38FB"/>
    <w:rsid w:val="00BC0807"/>
    <w:rsid w:val="00BC1442"/>
    <w:rsid w:val="00BC4919"/>
    <w:rsid w:val="00BC614C"/>
    <w:rsid w:val="00BD1250"/>
    <w:rsid w:val="00BD57BE"/>
    <w:rsid w:val="00BF2822"/>
    <w:rsid w:val="00BF2F28"/>
    <w:rsid w:val="00BF5B9E"/>
    <w:rsid w:val="00C002E9"/>
    <w:rsid w:val="00C0653D"/>
    <w:rsid w:val="00C06D24"/>
    <w:rsid w:val="00C06D93"/>
    <w:rsid w:val="00C11436"/>
    <w:rsid w:val="00C17350"/>
    <w:rsid w:val="00C21452"/>
    <w:rsid w:val="00C2769E"/>
    <w:rsid w:val="00C35110"/>
    <w:rsid w:val="00C402AE"/>
    <w:rsid w:val="00C6678C"/>
    <w:rsid w:val="00C74575"/>
    <w:rsid w:val="00C74B88"/>
    <w:rsid w:val="00C903B8"/>
    <w:rsid w:val="00C91301"/>
    <w:rsid w:val="00C91C2F"/>
    <w:rsid w:val="00CA3D20"/>
    <w:rsid w:val="00CB2FA6"/>
    <w:rsid w:val="00CB5D50"/>
    <w:rsid w:val="00CC02B4"/>
    <w:rsid w:val="00CC0402"/>
    <w:rsid w:val="00CC1C78"/>
    <w:rsid w:val="00CC3161"/>
    <w:rsid w:val="00CC5D87"/>
    <w:rsid w:val="00CC7367"/>
    <w:rsid w:val="00CD03E7"/>
    <w:rsid w:val="00CE2270"/>
    <w:rsid w:val="00CE4CBC"/>
    <w:rsid w:val="00D05DAB"/>
    <w:rsid w:val="00D154F8"/>
    <w:rsid w:val="00D238DA"/>
    <w:rsid w:val="00D30D17"/>
    <w:rsid w:val="00D34D28"/>
    <w:rsid w:val="00D3589B"/>
    <w:rsid w:val="00D479EA"/>
    <w:rsid w:val="00D50254"/>
    <w:rsid w:val="00D52C82"/>
    <w:rsid w:val="00D55215"/>
    <w:rsid w:val="00D61B31"/>
    <w:rsid w:val="00D64064"/>
    <w:rsid w:val="00D73262"/>
    <w:rsid w:val="00D73A0A"/>
    <w:rsid w:val="00D76FFE"/>
    <w:rsid w:val="00D84B5B"/>
    <w:rsid w:val="00DA49AB"/>
    <w:rsid w:val="00DA646A"/>
    <w:rsid w:val="00DB3070"/>
    <w:rsid w:val="00DB7EC0"/>
    <w:rsid w:val="00DC4D86"/>
    <w:rsid w:val="00DD6817"/>
    <w:rsid w:val="00E03ECB"/>
    <w:rsid w:val="00E048A5"/>
    <w:rsid w:val="00E10CD5"/>
    <w:rsid w:val="00E23350"/>
    <w:rsid w:val="00E270C8"/>
    <w:rsid w:val="00E309C2"/>
    <w:rsid w:val="00E31D00"/>
    <w:rsid w:val="00E33B43"/>
    <w:rsid w:val="00E3448B"/>
    <w:rsid w:val="00E34B41"/>
    <w:rsid w:val="00E474F7"/>
    <w:rsid w:val="00E5621D"/>
    <w:rsid w:val="00E67A65"/>
    <w:rsid w:val="00E70D95"/>
    <w:rsid w:val="00E72B05"/>
    <w:rsid w:val="00E76C5C"/>
    <w:rsid w:val="00E774D5"/>
    <w:rsid w:val="00EA24F9"/>
    <w:rsid w:val="00EA7390"/>
    <w:rsid w:val="00ED183A"/>
    <w:rsid w:val="00ED4FE6"/>
    <w:rsid w:val="00ED63F7"/>
    <w:rsid w:val="00ED6707"/>
    <w:rsid w:val="00ED7E1E"/>
    <w:rsid w:val="00EF2D76"/>
    <w:rsid w:val="00EF4F35"/>
    <w:rsid w:val="00F11A72"/>
    <w:rsid w:val="00F14115"/>
    <w:rsid w:val="00F15EB7"/>
    <w:rsid w:val="00F33A54"/>
    <w:rsid w:val="00F47F4B"/>
    <w:rsid w:val="00F50D0A"/>
    <w:rsid w:val="00F510BD"/>
    <w:rsid w:val="00F521BF"/>
    <w:rsid w:val="00F6214A"/>
    <w:rsid w:val="00F62978"/>
    <w:rsid w:val="00F639BA"/>
    <w:rsid w:val="00F641C3"/>
    <w:rsid w:val="00F86A30"/>
    <w:rsid w:val="00F87364"/>
    <w:rsid w:val="00F87A5B"/>
    <w:rsid w:val="00F92035"/>
    <w:rsid w:val="00F963C3"/>
    <w:rsid w:val="00FA2EFC"/>
    <w:rsid w:val="00FA5191"/>
    <w:rsid w:val="00FC2182"/>
    <w:rsid w:val="00FC523B"/>
    <w:rsid w:val="00FC5E68"/>
    <w:rsid w:val="00FD1C3E"/>
    <w:rsid w:val="00FD4FD5"/>
    <w:rsid w:val="00FE22B9"/>
    <w:rsid w:val="00FE3221"/>
    <w:rsid w:val="00FE51EA"/>
    <w:rsid w:val="00FE5BCC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3883C95"/>
  <w15:docId w15:val="{CE9BF9A5-8D9E-47A0-AD9F-9B1B8876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621"/>
    <w:pPr>
      <w:spacing w:line="24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8D3810"/>
    <w:pPr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234621"/>
    <w:pPr>
      <w:jc w:val="both"/>
    </w:pPr>
  </w:style>
  <w:style w:type="paragraph" w:customStyle="1" w:styleId="1Premierretrait">
    <w:name w:val="1 Premier retrait"/>
    <w:basedOn w:val="0Textedebase"/>
    <w:rsid w:val="00234621"/>
    <w:pPr>
      <w:numPr>
        <w:numId w:val="21"/>
      </w:numPr>
      <w:spacing w:before="120"/>
    </w:pPr>
  </w:style>
  <w:style w:type="paragraph" w:customStyle="1" w:styleId="2Deuximeretrait">
    <w:name w:val="2 Deuxième retrait"/>
    <w:basedOn w:val="0Textedebase"/>
    <w:rsid w:val="00234621"/>
    <w:pPr>
      <w:numPr>
        <w:numId w:val="22"/>
      </w:numPr>
      <w:spacing w:before="120"/>
    </w:pPr>
  </w:style>
  <w:style w:type="paragraph" w:customStyle="1" w:styleId="3Troisimeretrait">
    <w:name w:val="3 Troisième retrait"/>
    <w:basedOn w:val="0Textedebase"/>
    <w:rsid w:val="00234621"/>
    <w:pPr>
      <w:numPr>
        <w:numId w:val="23"/>
      </w:numPr>
      <w:spacing w:before="120"/>
    </w:pPr>
  </w:style>
  <w:style w:type="paragraph" w:styleId="FootnoteText">
    <w:name w:val="footnote text"/>
    <w:basedOn w:val="Normal"/>
    <w:link w:val="FootnoteTextChar"/>
    <w:uiPriority w:val="99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customStyle="1" w:styleId="1aPremierretraittable">
    <w:name w:val="1a Premier retrait table"/>
    <w:basedOn w:val="1Premierretrait"/>
    <w:qFormat/>
    <w:rsid w:val="001C3C43"/>
    <w:pPr>
      <w:tabs>
        <w:tab w:val="clear" w:pos="567"/>
        <w:tab w:val="num" w:pos="284"/>
      </w:tabs>
      <w:spacing w:before="60" w:after="60"/>
      <w:ind w:left="284" w:hanging="284"/>
    </w:p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F14115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2aDeuxiemeretraittable">
    <w:name w:val="2a Deuxieme retrait table"/>
    <w:basedOn w:val="2Deuximeretrait"/>
    <w:qFormat/>
    <w:rsid w:val="001C3C43"/>
    <w:pPr>
      <w:tabs>
        <w:tab w:val="clear" w:pos="1134"/>
        <w:tab w:val="num" w:pos="567"/>
      </w:tabs>
      <w:spacing w:before="60" w:after="60"/>
      <w:ind w:left="568" w:hanging="284"/>
    </w:pPr>
  </w:style>
  <w:style w:type="paragraph" w:customStyle="1" w:styleId="3aTroisiemeretraittable">
    <w:name w:val="3a Troisieme retrait table"/>
    <w:basedOn w:val="3Troisimeretrait"/>
    <w:qFormat/>
    <w:rsid w:val="001C3C43"/>
    <w:pPr>
      <w:tabs>
        <w:tab w:val="clear" w:pos="1701"/>
        <w:tab w:val="num" w:pos="851"/>
      </w:tabs>
      <w:spacing w:before="60" w:after="60"/>
      <w:ind w:left="851" w:hanging="284"/>
    </w:pPr>
  </w:style>
  <w:style w:type="table" w:styleId="TableGrid">
    <w:name w:val="Table Grid"/>
    <w:basedOn w:val="TableNormal"/>
    <w:rsid w:val="003A3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3C5"/>
    <w:rPr>
      <w:rFonts w:ascii="Arial" w:hAnsi="Arial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E67A65"/>
    <w:pPr>
      <w:ind w:left="720"/>
      <w:contextualSpacing/>
    </w:pPr>
  </w:style>
  <w:style w:type="character" w:styleId="Hyperlink">
    <w:name w:val="Hyperlink"/>
    <w:basedOn w:val="DefaultParagraphFont"/>
    <w:unhideWhenUsed/>
    <w:rsid w:val="00840AFA"/>
    <w:rPr>
      <w:color w:val="auto"/>
      <w:u w:val="none"/>
    </w:rPr>
  </w:style>
  <w:style w:type="character" w:styleId="FollowedHyperlink">
    <w:name w:val="FollowedHyperlink"/>
    <w:basedOn w:val="DefaultParagraphFont"/>
    <w:semiHidden/>
    <w:unhideWhenUsed/>
    <w:rsid w:val="000E64F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34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sselectedend">
    <w:name w:val="isselectedend"/>
    <w:basedOn w:val="Normal"/>
    <w:rsid w:val="00134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E3C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3C3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9E3C35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3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3C35"/>
    <w:rPr>
      <w:rFonts w:ascii="Arial" w:hAnsi="Arial"/>
      <w:b/>
      <w:bCs/>
      <w:lang w:val="en-GB"/>
    </w:rPr>
  </w:style>
  <w:style w:type="character" w:styleId="Strong">
    <w:name w:val="Strong"/>
    <w:basedOn w:val="DefaultParagraphFont"/>
    <w:uiPriority w:val="22"/>
    <w:qFormat/>
    <w:rsid w:val="00C06D9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06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urveymonkey.com/r/DFS8SK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spinozav@upu.i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skeviciusv@upu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DocumentType xmlns="45bc4347-1e49-4f11-a2de-cdc8b1236453">false</PGSDocumentType>
    <PGSAssociatedRequest xmlns="45bc4347-1e49-4f11-a2de-cdc8b1236453" xsi:nil="true"/>
    <PGSFolio xmlns="45bc4347-1e49-4f11-a2de-cdc8b1236453" xsi:nil="true"/>
    <PGSBat xmlns="45bc4347-1e49-4f11-a2de-cdc8b1236453">false</PGSBat>
    <PGSTitle xmlns="45bc4347-1e49-4f11-a2de-cdc8b1236453" xsi:nil="true"/>
    <PGSRequestAuthor xmlns="45bc4347-1e49-4f11-a2de-cdc8b1236453" xsi:nil="true"/>
    <PGSDirectPublication xmlns="45bc4347-1e49-4f11-a2de-cdc8b1236453">false</PGSDirectPublication>
    <PGSRequester xmlns="45bc4347-1e49-4f11-a2de-cdc8b1236453" xsi:nil="true"/>
    <PGSWordCount xmlns="45bc4347-1e49-4f11-a2de-cdc8b1236453" xsi:nil="true"/>
    <PGSOriginalLanguage xmlns="45bc4347-1e49-4f11-a2de-cdc8b12364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296CF-04A2-4177-8165-FEB323CDA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A0B65-2ACB-4937-B906-9164F42B56CD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f4fe5ba-0e9c-43fa-b7dd-de1717dc009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478C4A1-F06E-44DD-B2BD-3712C44BF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24776-105F-4190-8E49-7711E3373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1457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self-declared rates for E format letter-post items with effect from 1 January 2026</vt:lpstr>
    </vt:vector>
  </TitlesOfParts>
  <Company>Union postal universelle (UPU)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domestic tariffs and self-declared rates for parcel items with effect from 1 January 2027</dc:title>
  <dc:creator>KAMMERMANN-JACKSON heather</dc:creator>
  <cp:lastModifiedBy>KAMMERMANN-JACKSON heather</cp:lastModifiedBy>
  <cp:revision>5</cp:revision>
  <cp:lastPrinted>2026-03-25T10:26:00Z</cp:lastPrinted>
  <dcterms:created xsi:type="dcterms:W3CDTF">2026-03-24T14:10:00Z</dcterms:created>
  <dcterms:modified xsi:type="dcterms:W3CDTF">2026-03-25T10:26:00Z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5c205563-f550-4910-ad44-03b4ca23f993</vt:lpwstr>
  </property>
  <property fmtid="{D5CDD505-2E9C-101B-9397-08002B2CF9AE}" pid="4" name="GrammarlyDocumentId">
    <vt:lpwstr>6b59ec75210145e4a9cf2651bd17a015332bedf17af89b0a1a8ad911bf019c06</vt:lpwstr>
  </property>
</Properties>
</file>