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2118" w14:textId="4C61D7E8" w:rsidR="003A33C5" w:rsidRPr="0016058D" w:rsidRDefault="003A33C5" w:rsidP="00E70D95">
      <w:pPr>
        <w:pStyle w:val="0Textedebase"/>
        <w:rPr>
          <w:b/>
          <w:bCs/>
          <w:lang w:val="es-ES_tradnl"/>
        </w:rPr>
      </w:pPr>
      <w:r w:rsidRPr="0016058D">
        <w:rPr>
          <w:b/>
          <w:lang w:val="es-ES_tradnl"/>
        </w:rPr>
        <w:t>Notificación de las tarifas internas y las tasas autodeclaradas para las encomiendas postales con efecto a partir del 1º de enero de 2027</w:t>
      </w:r>
    </w:p>
    <w:p w14:paraId="79C863F6" w14:textId="77777777" w:rsidR="009268A7" w:rsidRPr="0016058D" w:rsidRDefault="009268A7" w:rsidP="003A33C5">
      <w:pPr>
        <w:pStyle w:val="0Textedebase"/>
        <w:rPr>
          <w:lang w:val="es-ES_tradnl"/>
        </w:rPr>
      </w:pPr>
    </w:p>
    <w:tbl>
      <w:tblPr>
        <w:tblStyle w:val="Tablaconcuadrcula"/>
        <w:tblW w:w="0" w:type="auto"/>
        <w:tblLook w:val="04A0" w:firstRow="1" w:lastRow="0" w:firstColumn="1" w:lastColumn="0" w:noHBand="0" w:noVBand="1"/>
      </w:tblPr>
      <w:tblGrid>
        <w:gridCol w:w="9628"/>
      </w:tblGrid>
      <w:tr w:rsidR="008E7F76" w:rsidRPr="0016058D" w14:paraId="73BB230B" w14:textId="77777777" w:rsidTr="008E7F76">
        <w:tc>
          <w:tcPr>
            <w:tcW w:w="9628" w:type="dxa"/>
            <w:vAlign w:val="center"/>
          </w:tcPr>
          <w:p w14:paraId="72B70EAE" w14:textId="1573F158" w:rsidR="008E7F76" w:rsidRPr="0016058D" w:rsidRDefault="008E7F76" w:rsidP="009D0F1A">
            <w:pPr>
              <w:pStyle w:val="0Textedebase"/>
              <w:spacing w:before="60" w:after="60"/>
              <w:rPr>
                <w:lang w:val="es-ES_tradnl"/>
              </w:rPr>
            </w:pPr>
            <w:r w:rsidRPr="0016058D">
              <w:rPr>
                <w:b/>
                <w:lang w:val="es-ES_tradnl"/>
              </w:rPr>
              <w:t xml:space="preserve">Nota. </w:t>
            </w:r>
            <w:r w:rsidRPr="0016058D">
              <w:rPr>
                <w:b/>
                <w:bCs/>
                <w:lang w:val="es-ES_tradnl"/>
              </w:rPr>
              <w:t>–</w:t>
            </w:r>
            <w:r w:rsidRPr="0016058D">
              <w:rPr>
                <w:lang w:val="es-ES_tradnl"/>
              </w:rPr>
              <w:t xml:space="preserve"> Los operadores designados deben completar y devolver el presente cuestionario.</w:t>
            </w:r>
          </w:p>
        </w:tc>
      </w:tr>
    </w:tbl>
    <w:p w14:paraId="6D3C4452" w14:textId="77777777" w:rsidR="003A33C5" w:rsidRPr="0016058D" w:rsidRDefault="003A33C5" w:rsidP="003A33C5">
      <w:pPr>
        <w:pStyle w:val="0Textedebase"/>
        <w:rPr>
          <w:lang w:val="es-ES_tradnl"/>
        </w:rPr>
      </w:pPr>
    </w:p>
    <w:p w14:paraId="56096CF1" w14:textId="550230EE" w:rsidR="00294B59" w:rsidRPr="0016058D" w:rsidRDefault="00EF4F35" w:rsidP="00407587">
      <w:pPr>
        <w:jc w:val="both"/>
        <w:rPr>
          <w:lang w:val="es-ES_tradnl"/>
        </w:rPr>
      </w:pPr>
      <w:r w:rsidRPr="0016058D">
        <w:rPr>
          <w:lang w:val="es-ES_tradnl"/>
        </w:rPr>
        <w:t xml:space="preserve">Sírvase completar el presente cuestionario y devolverlo, sin oficio de presentación, lo antes posible, pero </w:t>
      </w:r>
      <w:r w:rsidRPr="0016058D">
        <w:rPr>
          <w:b/>
          <w:bCs/>
          <w:lang w:val="es-ES_tradnl"/>
        </w:rPr>
        <w:t>a</w:t>
      </w:r>
      <w:r w:rsidR="000109FE" w:rsidRPr="0016058D">
        <w:rPr>
          <w:b/>
          <w:bCs/>
          <w:lang w:val="es-ES_tradnl"/>
        </w:rPr>
        <w:t> </w:t>
      </w:r>
      <w:r w:rsidRPr="0016058D">
        <w:rPr>
          <w:b/>
          <w:bCs/>
          <w:lang w:val="es-ES_tradnl"/>
        </w:rPr>
        <w:t>más tardar el 1º de mayo de 2026</w:t>
      </w:r>
      <w:r w:rsidRPr="0016058D">
        <w:rPr>
          <w:lang w:val="es-ES_tradnl"/>
        </w:rPr>
        <w:t xml:space="preserve">, por correo electrónico al Sr. </w:t>
      </w:r>
      <w:proofErr w:type="spellStart"/>
      <w:r w:rsidRPr="0016058D">
        <w:rPr>
          <w:lang w:val="es-ES_tradnl"/>
        </w:rPr>
        <w:t>Vytis</w:t>
      </w:r>
      <w:proofErr w:type="spellEnd"/>
      <w:r w:rsidRPr="0016058D">
        <w:rPr>
          <w:lang w:val="es-ES_tradnl"/>
        </w:rPr>
        <w:t xml:space="preserve"> </w:t>
      </w:r>
      <w:proofErr w:type="spellStart"/>
      <w:r w:rsidRPr="0016058D">
        <w:rPr>
          <w:lang w:val="es-ES_tradnl"/>
        </w:rPr>
        <w:t>Staskevicius</w:t>
      </w:r>
      <w:proofErr w:type="spellEnd"/>
      <w:r w:rsidRPr="0016058D">
        <w:rPr>
          <w:lang w:val="es-ES_tradnl"/>
        </w:rPr>
        <w:t xml:space="preserve"> (</w:t>
      </w:r>
      <w:hyperlink r:id="rId11" w:history="1">
        <w:r w:rsidRPr="0016058D">
          <w:rPr>
            <w:rStyle w:val="Hipervnculo"/>
            <w:lang w:val="es-ES_tradnl"/>
          </w:rPr>
          <w:t>staskeviciusv@upu.int</w:t>
        </w:r>
      </w:hyperlink>
      <w:r w:rsidRPr="0016058D">
        <w:rPr>
          <w:lang w:val="es-ES_tradnl"/>
        </w:rPr>
        <w:t>) y a la Sra. Virginia Espinoza (</w:t>
      </w:r>
      <w:hyperlink r:id="rId12" w:history="1">
        <w:r w:rsidRPr="0016058D">
          <w:rPr>
            <w:rStyle w:val="Hipervnculo"/>
            <w:lang w:val="es-ES_tradnl"/>
          </w:rPr>
          <w:t>espinozav@upu.int</w:t>
        </w:r>
      </w:hyperlink>
      <w:r w:rsidRPr="0016058D">
        <w:rPr>
          <w:lang w:val="es-ES_tradnl"/>
        </w:rPr>
        <w:t>), o a la dirección postal siguiente:</w:t>
      </w:r>
    </w:p>
    <w:p w14:paraId="45157CAB" w14:textId="7650F68C" w:rsidR="00F47F4B" w:rsidRPr="00DF5EC3" w:rsidRDefault="00F47F4B" w:rsidP="00F47F4B">
      <w:pPr>
        <w:spacing w:before="120"/>
        <w:jc w:val="both"/>
        <w:rPr>
          <w:lang w:val="fr-FR"/>
        </w:rPr>
      </w:pPr>
      <w:r w:rsidRPr="00DF5EC3">
        <w:rPr>
          <w:lang w:val="fr-FR"/>
        </w:rPr>
        <w:t>Vytis Staskevicius</w:t>
      </w:r>
    </w:p>
    <w:p w14:paraId="645C7746" w14:textId="5F884E46" w:rsidR="00F47F4B" w:rsidRPr="00DF5EC3" w:rsidRDefault="00F47F4B" w:rsidP="00F47F4B">
      <w:pPr>
        <w:jc w:val="both"/>
        <w:rPr>
          <w:lang w:val="fr-FR"/>
        </w:rPr>
      </w:pPr>
      <w:r w:rsidRPr="00DF5EC3">
        <w:rPr>
          <w:lang w:val="fr-FR"/>
        </w:rPr>
        <w:t>Expert «Développement et intégration de la rémunération»</w:t>
      </w:r>
    </w:p>
    <w:p w14:paraId="44014674" w14:textId="77777777" w:rsidR="00F47F4B" w:rsidRPr="00DF5EC3" w:rsidRDefault="00F47F4B" w:rsidP="00F47F4B">
      <w:pPr>
        <w:jc w:val="both"/>
        <w:rPr>
          <w:lang w:val="fr-FR"/>
        </w:rPr>
      </w:pPr>
      <w:r w:rsidRPr="00DF5EC3">
        <w:rPr>
          <w:lang w:val="fr-FR"/>
        </w:rPr>
        <w:t>Bureau international de l’UPU</w:t>
      </w:r>
    </w:p>
    <w:p w14:paraId="7FF8A1A9" w14:textId="71566477" w:rsidR="00F47F4B" w:rsidRPr="00DF5EC3" w:rsidRDefault="00F47F4B" w:rsidP="00F47F4B">
      <w:pPr>
        <w:jc w:val="both"/>
        <w:rPr>
          <w:lang w:val="fr-FR"/>
        </w:rPr>
      </w:pPr>
      <w:r w:rsidRPr="00DF5EC3">
        <w:rPr>
          <w:lang w:val="fr-FR"/>
        </w:rPr>
        <w:t>3015 BERNE</w:t>
      </w:r>
    </w:p>
    <w:p w14:paraId="005EC237" w14:textId="77777777" w:rsidR="00F47F4B" w:rsidRPr="00DF5EC3" w:rsidRDefault="00F47F4B" w:rsidP="00F47F4B">
      <w:pPr>
        <w:jc w:val="both"/>
        <w:rPr>
          <w:lang w:val="fr-FR"/>
        </w:rPr>
      </w:pPr>
      <w:r w:rsidRPr="00DF5EC3">
        <w:rPr>
          <w:lang w:val="fr-FR"/>
        </w:rPr>
        <w:t>SUIZA</w:t>
      </w:r>
    </w:p>
    <w:p w14:paraId="79A7A139" w14:textId="5463CC10" w:rsidR="00294B59" w:rsidRPr="00DF5EC3" w:rsidRDefault="00294B59" w:rsidP="00840AFA">
      <w:pPr>
        <w:pStyle w:val="0Textedebase"/>
        <w:rPr>
          <w:lang w:val="fr-FR"/>
        </w:rPr>
      </w:pPr>
    </w:p>
    <w:p w14:paraId="71101511" w14:textId="38545BA2" w:rsidR="00C06D93" w:rsidRPr="0016058D" w:rsidRDefault="00C06D93" w:rsidP="00840AFA">
      <w:pPr>
        <w:pStyle w:val="0Textedebase"/>
        <w:rPr>
          <w:spacing w:val="-4"/>
          <w:lang w:val="es-ES_tradnl"/>
        </w:rPr>
      </w:pPr>
      <w:r w:rsidRPr="0016058D">
        <w:rPr>
          <w:lang w:val="es-ES_tradnl"/>
        </w:rPr>
        <w:t xml:space="preserve">La versión electrónica del cuestionario de este anexo está disponible en el siguiente enlace: </w:t>
      </w:r>
      <w:hyperlink r:id="rId13" w:history="1">
        <w:r w:rsidR="000109FE" w:rsidRPr="0016058D">
          <w:rPr>
            <w:rStyle w:val="Hipervnculo"/>
            <w:lang w:val="es-ES_tradnl"/>
          </w:rPr>
          <w:t>www.surveymonkey.com/r/DFS8SK8</w:t>
        </w:r>
      </w:hyperlink>
      <w:r w:rsidRPr="0016058D">
        <w:rPr>
          <w:lang w:val="es-ES_tradnl"/>
        </w:rPr>
        <w:t>.</w:t>
      </w:r>
    </w:p>
    <w:p w14:paraId="6D3679FC" w14:textId="77777777" w:rsidR="00C06D93" w:rsidRPr="0016058D" w:rsidRDefault="00C06D93" w:rsidP="00840AFA">
      <w:pPr>
        <w:pStyle w:val="0Textedebase"/>
        <w:rPr>
          <w:lang w:val="es-ES_tradnl"/>
        </w:rPr>
      </w:pPr>
    </w:p>
    <w:p w14:paraId="11051EB2" w14:textId="0F50095D" w:rsidR="00C06D93" w:rsidRPr="0016058D" w:rsidRDefault="00C06D93" w:rsidP="00840AFA">
      <w:pPr>
        <w:pStyle w:val="0Textedebase"/>
        <w:rPr>
          <w:i/>
          <w:iCs/>
          <w:lang w:val="es-ES_tradnl"/>
        </w:rPr>
      </w:pPr>
      <w:r w:rsidRPr="0016058D">
        <w:rPr>
          <w:i/>
          <w:lang w:val="es-ES_tradnl"/>
        </w:rPr>
        <w:t>Es importante señalar que los operadores designados que presenten su notificación por SurveyMonkey no tienen necesidad de devolver los formularios en formato Word por correo electrónico.</w:t>
      </w:r>
    </w:p>
    <w:p w14:paraId="0D1FBFCE" w14:textId="77777777" w:rsidR="009E3C35" w:rsidRPr="0016058D" w:rsidRDefault="009E3C35" w:rsidP="00840AFA">
      <w:pPr>
        <w:pStyle w:val="0Textedebase"/>
        <w:rPr>
          <w:lang w:val="es-ES_tradnl"/>
        </w:rPr>
      </w:pPr>
    </w:p>
    <w:p w14:paraId="2EE0F34E" w14:textId="3EEA5C0D" w:rsidR="00294B59" w:rsidRPr="0016058D" w:rsidRDefault="00294B59" w:rsidP="00294B59">
      <w:pPr>
        <w:jc w:val="both"/>
        <w:rPr>
          <w:lang w:val="es-ES_tradnl"/>
        </w:rPr>
      </w:pPr>
      <w:r w:rsidRPr="0016058D">
        <w:rPr>
          <w:lang w:val="es-ES_tradnl"/>
        </w:rPr>
        <w:t>Se invita a los operadores designados a enviar su notificación por correo electrónico o a enviar una copia por correo electrónico si presentan su notificación por vía postal.</w:t>
      </w:r>
    </w:p>
    <w:p w14:paraId="06E2CAE3" w14:textId="77777777" w:rsidR="00294B59" w:rsidRPr="0016058D" w:rsidRDefault="00294B59" w:rsidP="00294B59">
      <w:pPr>
        <w:pStyle w:val="0Textedebase"/>
        <w:rPr>
          <w:lang w:val="es-ES_tradnl"/>
        </w:rPr>
      </w:pPr>
    </w:p>
    <w:p w14:paraId="267BFCC7" w14:textId="0E972ECC" w:rsidR="003A33C5" w:rsidRPr="0016058D" w:rsidRDefault="00294B59" w:rsidP="00671A0E">
      <w:pPr>
        <w:pStyle w:val="0Textedebase"/>
        <w:rPr>
          <w:lang w:val="es-ES_tradnl"/>
        </w:rPr>
      </w:pPr>
      <w:r w:rsidRPr="0016058D">
        <w:rPr>
          <w:lang w:val="es-ES_tradnl"/>
        </w:rPr>
        <w:t xml:space="preserve">Ante cualquier dificultad para completar el cuestionario, sírvase comunicarse con el Sr. </w:t>
      </w:r>
      <w:proofErr w:type="spellStart"/>
      <w:r w:rsidRPr="0016058D">
        <w:rPr>
          <w:lang w:val="es-ES_tradnl"/>
        </w:rPr>
        <w:t>Vytis</w:t>
      </w:r>
      <w:proofErr w:type="spellEnd"/>
      <w:r w:rsidRPr="0016058D">
        <w:rPr>
          <w:lang w:val="es-ES_tradnl"/>
        </w:rPr>
        <w:t xml:space="preserve"> </w:t>
      </w:r>
      <w:proofErr w:type="spellStart"/>
      <w:r w:rsidRPr="0016058D">
        <w:rPr>
          <w:lang w:val="es-ES_tradnl"/>
        </w:rPr>
        <w:t>Staskevicius</w:t>
      </w:r>
      <w:proofErr w:type="spellEnd"/>
      <w:r w:rsidRPr="0016058D">
        <w:rPr>
          <w:lang w:val="es-ES_tradnl"/>
        </w:rPr>
        <w:t xml:space="preserve"> y la Sra. Virginia Espinoza por correo electrónico.</w:t>
      </w:r>
    </w:p>
    <w:p w14:paraId="7C21035E" w14:textId="77777777" w:rsidR="00F47F4B" w:rsidRPr="0016058D" w:rsidRDefault="00F47F4B" w:rsidP="00671A0E">
      <w:pPr>
        <w:pStyle w:val="0Textedebase"/>
        <w:rPr>
          <w:rFonts w:cs="Arial"/>
          <w:lang w:val="es-ES_tradnl"/>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2791"/>
        <w:gridCol w:w="2004"/>
      </w:tblGrid>
      <w:tr w:rsidR="003A33C5" w:rsidRPr="0016058D" w14:paraId="65E3E3AC" w14:textId="77777777" w:rsidTr="00E67A65">
        <w:trPr>
          <w:cantSplit/>
        </w:trPr>
        <w:tc>
          <w:tcPr>
            <w:tcW w:w="9654" w:type="dxa"/>
            <w:gridSpan w:val="3"/>
            <w:tcMar>
              <w:top w:w="57" w:type="dxa"/>
              <w:bottom w:w="0" w:type="dxa"/>
            </w:tcMar>
          </w:tcPr>
          <w:p w14:paraId="7D9D2638" w14:textId="77777777" w:rsidR="003A33C5" w:rsidRPr="0016058D" w:rsidRDefault="003A33C5" w:rsidP="00E67A65">
            <w:pPr>
              <w:spacing w:line="240" w:lineRule="auto"/>
              <w:rPr>
                <w:rFonts w:cs="Arial"/>
                <w:sz w:val="16"/>
                <w:szCs w:val="16"/>
                <w:lang w:val="es-ES_tradnl"/>
              </w:rPr>
            </w:pPr>
            <w:r w:rsidRPr="0016058D">
              <w:rPr>
                <w:sz w:val="16"/>
                <w:lang w:val="es-ES_tradnl"/>
              </w:rPr>
              <w:t>Operador designado</w:t>
            </w:r>
          </w:p>
          <w:p w14:paraId="10D040EF" w14:textId="77777777" w:rsidR="003A33C5" w:rsidRPr="0016058D" w:rsidRDefault="003A33C5" w:rsidP="00E67A65">
            <w:pPr>
              <w:spacing w:line="240" w:lineRule="auto"/>
              <w:ind w:right="74"/>
              <w:rPr>
                <w:rFonts w:cs="Arial"/>
                <w:sz w:val="16"/>
                <w:szCs w:val="16"/>
                <w:lang w:val="es-ES_tradnl"/>
              </w:rPr>
            </w:pPr>
          </w:p>
          <w:p w14:paraId="2057DDC7" w14:textId="77777777" w:rsidR="003A33C5" w:rsidRPr="0016058D" w:rsidRDefault="003A33C5" w:rsidP="00E67A65">
            <w:pPr>
              <w:spacing w:line="240" w:lineRule="auto"/>
              <w:ind w:right="74"/>
              <w:rPr>
                <w:rFonts w:cs="Arial"/>
                <w:sz w:val="16"/>
                <w:szCs w:val="16"/>
                <w:lang w:val="es-ES_tradnl"/>
              </w:rPr>
            </w:pPr>
          </w:p>
        </w:tc>
      </w:tr>
      <w:tr w:rsidR="003A33C5" w:rsidRPr="0016058D" w14:paraId="7373F847" w14:textId="77777777" w:rsidTr="00E67A65">
        <w:trPr>
          <w:cantSplit/>
          <w:trHeight w:val="33"/>
        </w:trPr>
        <w:tc>
          <w:tcPr>
            <w:tcW w:w="7650" w:type="dxa"/>
            <w:gridSpan w:val="2"/>
            <w:tcBorders>
              <w:right w:val="nil"/>
            </w:tcBorders>
            <w:tcMar>
              <w:top w:w="57" w:type="dxa"/>
              <w:bottom w:w="0" w:type="dxa"/>
            </w:tcMar>
          </w:tcPr>
          <w:p w14:paraId="72A22927" w14:textId="6C71173D" w:rsidR="003A33C5" w:rsidRPr="0016058D" w:rsidRDefault="005C4305" w:rsidP="00E67A65">
            <w:pPr>
              <w:spacing w:line="240" w:lineRule="auto"/>
              <w:ind w:right="75"/>
              <w:rPr>
                <w:rFonts w:cs="Arial"/>
                <w:sz w:val="16"/>
                <w:szCs w:val="16"/>
                <w:lang w:val="es-ES_tradnl"/>
              </w:rPr>
            </w:pPr>
            <w:r w:rsidRPr="0016058D">
              <w:rPr>
                <w:sz w:val="16"/>
                <w:lang w:val="es-ES_tradnl"/>
              </w:rPr>
              <w:t>Nombre completo</w:t>
            </w:r>
          </w:p>
          <w:p w14:paraId="5211BE0B" w14:textId="77777777" w:rsidR="003A33C5" w:rsidRPr="0016058D" w:rsidRDefault="003A33C5" w:rsidP="00E67A65">
            <w:pPr>
              <w:spacing w:line="240" w:lineRule="auto"/>
              <w:rPr>
                <w:rFonts w:cs="Arial"/>
                <w:sz w:val="16"/>
                <w:szCs w:val="16"/>
                <w:lang w:val="es-ES_tradnl"/>
              </w:rPr>
            </w:pPr>
          </w:p>
          <w:p w14:paraId="0DB49606" w14:textId="77777777" w:rsidR="003A33C5" w:rsidRPr="0016058D" w:rsidRDefault="003A33C5" w:rsidP="00E67A65">
            <w:pPr>
              <w:spacing w:line="240" w:lineRule="auto"/>
              <w:rPr>
                <w:rFonts w:cs="Arial"/>
                <w:sz w:val="16"/>
                <w:szCs w:val="16"/>
                <w:lang w:val="es-ES_tradnl"/>
              </w:rPr>
            </w:pPr>
          </w:p>
        </w:tc>
        <w:tc>
          <w:tcPr>
            <w:tcW w:w="2004" w:type="dxa"/>
            <w:tcBorders>
              <w:left w:val="nil"/>
            </w:tcBorders>
            <w:tcMar>
              <w:top w:w="57" w:type="dxa"/>
            </w:tcMar>
            <w:vAlign w:val="bottom"/>
          </w:tcPr>
          <w:p w14:paraId="63EC187A" w14:textId="616CC65D" w:rsidR="003A33C5" w:rsidRPr="0016058D" w:rsidRDefault="00472ED0" w:rsidP="00407587">
            <w:pPr>
              <w:tabs>
                <w:tab w:val="left" w:pos="921"/>
              </w:tabs>
              <w:rPr>
                <w:rFonts w:cs="Arial"/>
                <w:sz w:val="16"/>
                <w:szCs w:val="16"/>
                <w:lang w:val="es-ES_tradnl"/>
              </w:rPr>
            </w:pPr>
            <w:sdt>
              <w:sdtPr>
                <w:rPr>
                  <w:rFonts w:cs="Arial"/>
                  <w:sz w:val="24"/>
                  <w:szCs w:val="24"/>
                  <w:lang w:val="es-ES_tradnl"/>
                </w:rPr>
                <w:id w:val="-1990703502"/>
                <w14:checkbox>
                  <w14:checked w14:val="0"/>
                  <w14:checkedState w14:val="0054" w14:font="Wingdings 2"/>
                  <w14:uncheckedState w14:val="0071" w14:font="Wingdings"/>
                </w14:checkbox>
              </w:sdtPr>
              <w:sdtEndPr/>
              <w:sdtContent>
                <w:r w:rsidR="003A33C5" w:rsidRPr="0016058D">
                  <w:rPr>
                    <w:rFonts w:cs="Arial"/>
                    <w:sz w:val="24"/>
                    <w:szCs w:val="24"/>
                    <w:lang w:val="es-ES_tradnl"/>
                  </w:rPr>
                  <w:sym w:font="Wingdings" w:char="F071"/>
                </w:r>
              </w:sdtContent>
            </w:sdt>
            <w:r w:rsidR="00905F23" w:rsidRPr="0016058D">
              <w:rPr>
                <w:sz w:val="16"/>
                <w:lang w:val="es-ES_tradnl"/>
              </w:rPr>
              <w:t xml:space="preserve"> Sra.</w:t>
            </w:r>
            <w:r w:rsidR="00905F23" w:rsidRPr="0016058D">
              <w:rPr>
                <w:sz w:val="16"/>
                <w:lang w:val="es-ES_tradnl"/>
              </w:rPr>
              <w:tab/>
            </w:r>
            <w:sdt>
              <w:sdtPr>
                <w:rPr>
                  <w:rFonts w:cs="Arial"/>
                  <w:sz w:val="24"/>
                  <w:szCs w:val="24"/>
                  <w:lang w:val="es-ES_tradnl"/>
                </w:rPr>
                <w:id w:val="-823508224"/>
                <w14:checkbox>
                  <w14:checked w14:val="0"/>
                  <w14:checkedState w14:val="0054" w14:font="Wingdings 2"/>
                  <w14:uncheckedState w14:val="0071" w14:font="Wingdings"/>
                </w14:checkbox>
              </w:sdtPr>
              <w:sdtEndPr/>
              <w:sdtContent>
                <w:r w:rsidR="003A33C5" w:rsidRPr="0016058D">
                  <w:rPr>
                    <w:rFonts w:cs="Arial"/>
                    <w:sz w:val="24"/>
                    <w:szCs w:val="24"/>
                    <w:lang w:val="es-ES_tradnl"/>
                  </w:rPr>
                  <w:sym w:font="Wingdings" w:char="F071"/>
                </w:r>
              </w:sdtContent>
            </w:sdt>
            <w:r w:rsidR="00905F23" w:rsidRPr="0016058D">
              <w:rPr>
                <w:sz w:val="16"/>
                <w:lang w:val="es-ES_tradnl"/>
              </w:rPr>
              <w:t xml:space="preserve"> Sr.</w:t>
            </w:r>
          </w:p>
        </w:tc>
      </w:tr>
      <w:tr w:rsidR="003A33C5" w:rsidRPr="0016058D" w14:paraId="18E21B82" w14:textId="77777777" w:rsidTr="00E67A65">
        <w:trPr>
          <w:cantSplit/>
        </w:trPr>
        <w:tc>
          <w:tcPr>
            <w:tcW w:w="9654" w:type="dxa"/>
            <w:gridSpan w:val="3"/>
            <w:tcMar>
              <w:top w:w="57" w:type="dxa"/>
              <w:bottom w:w="0" w:type="dxa"/>
            </w:tcMar>
          </w:tcPr>
          <w:p w14:paraId="4308B494"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Función/cargo</w:t>
            </w:r>
          </w:p>
          <w:p w14:paraId="4004641D" w14:textId="77777777" w:rsidR="003A33C5" w:rsidRPr="0016058D" w:rsidRDefault="003A33C5" w:rsidP="00E67A65">
            <w:pPr>
              <w:spacing w:line="240" w:lineRule="auto"/>
              <w:ind w:right="74"/>
              <w:rPr>
                <w:rFonts w:cs="Arial"/>
                <w:sz w:val="16"/>
                <w:szCs w:val="16"/>
                <w:lang w:val="es-ES_tradnl"/>
              </w:rPr>
            </w:pPr>
          </w:p>
          <w:p w14:paraId="038177EB" w14:textId="77777777" w:rsidR="003A33C5" w:rsidRPr="0016058D" w:rsidRDefault="003A33C5" w:rsidP="00E67A65">
            <w:pPr>
              <w:spacing w:line="240" w:lineRule="auto"/>
              <w:ind w:right="74"/>
              <w:rPr>
                <w:rFonts w:cs="Arial"/>
                <w:sz w:val="16"/>
                <w:szCs w:val="16"/>
                <w:lang w:val="es-ES_tradnl"/>
              </w:rPr>
            </w:pPr>
          </w:p>
        </w:tc>
      </w:tr>
      <w:tr w:rsidR="003A33C5" w:rsidRPr="0016058D" w14:paraId="653807D1" w14:textId="77777777" w:rsidTr="00E67A65">
        <w:trPr>
          <w:cantSplit/>
        </w:trPr>
        <w:tc>
          <w:tcPr>
            <w:tcW w:w="9654" w:type="dxa"/>
            <w:gridSpan w:val="3"/>
            <w:tcMar>
              <w:top w:w="57" w:type="dxa"/>
              <w:bottom w:w="0" w:type="dxa"/>
            </w:tcMar>
          </w:tcPr>
          <w:p w14:paraId="3546195A"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Dirección</w:t>
            </w:r>
          </w:p>
          <w:p w14:paraId="5D476457" w14:textId="77777777" w:rsidR="003A33C5" w:rsidRPr="0016058D" w:rsidRDefault="003A33C5" w:rsidP="00E67A65">
            <w:pPr>
              <w:spacing w:line="240" w:lineRule="auto"/>
              <w:ind w:right="74"/>
              <w:rPr>
                <w:rFonts w:cs="Arial"/>
                <w:sz w:val="16"/>
                <w:szCs w:val="16"/>
                <w:lang w:val="es-ES_tradnl"/>
              </w:rPr>
            </w:pPr>
          </w:p>
          <w:p w14:paraId="16E144DC" w14:textId="77777777" w:rsidR="003A33C5" w:rsidRPr="0016058D" w:rsidRDefault="003A33C5" w:rsidP="00E67A65">
            <w:pPr>
              <w:spacing w:line="240" w:lineRule="auto"/>
              <w:ind w:right="74"/>
              <w:rPr>
                <w:rFonts w:cs="Arial"/>
                <w:sz w:val="16"/>
                <w:szCs w:val="16"/>
                <w:lang w:val="es-ES_tradnl"/>
              </w:rPr>
            </w:pPr>
          </w:p>
          <w:p w14:paraId="5B1B6AEF" w14:textId="77777777" w:rsidR="003A33C5" w:rsidRPr="0016058D" w:rsidRDefault="003A33C5" w:rsidP="00E67A65">
            <w:pPr>
              <w:spacing w:line="240" w:lineRule="auto"/>
              <w:ind w:right="74"/>
              <w:rPr>
                <w:rFonts w:cs="Arial"/>
                <w:sz w:val="16"/>
                <w:szCs w:val="16"/>
                <w:lang w:val="es-ES_tradnl"/>
              </w:rPr>
            </w:pPr>
          </w:p>
          <w:p w14:paraId="45E249CF" w14:textId="77777777" w:rsidR="003A33C5" w:rsidRPr="0016058D" w:rsidRDefault="003A33C5" w:rsidP="00E67A65">
            <w:pPr>
              <w:spacing w:line="240" w:lineRule="auto"/>
              <w:ind w:right="74"/>
              <w:rPr>
                <w:rFonts w:cs="Arial"/>
                <w:sz w:val="16"/>
                <w:szCs w:val="16"/>
                <w:lang w:val="es-ES_tradnl"/>
              </w:rPr>
            </w:pPr>
          </w:p>
          <w:p w14:paraId="15367520" w14:textId="77777777" w:rsidR="003A33C5" w:rsidRPr="0016058D" w:rsidRDefault="003A33C5" w:rsidP="00E67A65">
            <w:pPr>
              <w:spacing w:line="240" w:lineRule="auto"/>
              <w:ind w:right="74"/>
              <w:rPr>
                <w:rFonts w:cs="Arial"/>
                <w:sz w:val="16"/>
                <w:szCs w:val="16"/>
                <w:lang w:val="es-ES_tradnl"/>
              </w:rPr>
            </w:pPr>
          </w:p>
        </w:tc>
      </w:tr>
      <w:tr w:rsidR="003A33C5" w:rsidRPr="0016058D" w14:paraId="593B7AC4" w14:textId="77777777" w:rsidTr="00E67A65">
        <w:trPr>
          <w:cantSplit/>
          <w:trHeight w:val="192"/>
        </w:trPr>
        <w:tc>
          <w:tcPr>
            <w:tcW w:w="4859" w:type="dxa"/>
            <w:tcMar>
              <w:top w:w="57" w:type="dxa"/>
              <w:bottom w:w="0" w:type="dxa"/>
            </w:tcMar>
          </w:tcPr>
          <w:p w14:paraId="3190C9CC"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Teléfono</w:t>
            </w:r>
          </w:p>
          <w:p w14:paraId="1A9A6E07" w14:textId="77777777" w:rsidR="003A33C5" w:rsidRPr="0016058D" w:rsidRDefault="003A33C5" w:rsidP="00E67A65">
            <w:pPr>
              <w:spacing w:line="240" w:lineRule="auto"/>
              <w:ind w:right="74"/>
              <w:rPr>
                <w:rFonts w:cs="Arial"/>
                <w:sz w:val="16"/>
                <w:szCs w:val="16"/>
                <w:lang w:val="es-ES_tradnl"/>
              </w:rPr>
            </w:pPr>
          </w:p>
          <w:p w14:paraId="317BD0FE" w14:textId="77777777" w:rsidR="003A33C5" w:rsidRPr="0016058D" w:rsidRDefault="003A33C5" w:rsidP="00E67A65">
            <w:pPr>
              <w:spacing w:line="240" w:lineRule="auto"/>
              <w:ind w:right="74"/>
              <w:rPr>
                <w:rFonts w:cs="Arial"/>
                <w:sz w:val="16"/>
                <w:szCs w:val="16"/>
                <w:lang w:val="es-ES_tradnl"/>
              </w:rPr>
            </w:pPr>
          </w:p>
        </w:tc>
        <w:tc>
          <w:tcPr>
            <w:tcW w:w="4795" w:type="dxa"/>
            <w:gridSpan w:val="2"/>
            <w:tcMar>
              <w:top w:w="57" w:type="dxa"/>
              <w:bottom w:w="0" w:type="dxa"/>
            </w:tcMar>
          </w:tcPr>
          <w:p w14:paraId="760D80EE"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Telefax</w:t>
            </w:r>
          </w:p>
          <w:p w14:paraId="7F18106F" w14:textId="77777777" w:rsidR="003A33C5" w:rsidRPr="0016058D" w:rsidRDefault="003A33C5" w:rsidP="00E67A65">
            <w:pPr>
              <w:spacing w:line="240" w:lineRule="auto"/>
              <w:ind w:right="74"/>
              <w:rPr>
                <w:rFonts w:cs="Arial"/>
                <w:sz w:val="16"/>
                <w:szCs w:val="16"/>
                <w:lang w:val="es-ES_tradnl"/>
              </w:rPr>
            </w:pPr>
          </w:p>
        </w:tc>
      </w:tr>
      <w:tr w:rsidR="003A33C5" w:rsidRPr="0016058D" w14:paraId="7DB9FAB4" w14:textId="77777777" w:rsidTr="00E67A65">
        <w:trPr>
          <w:cantSplit/>
        </w:trPr>
        <w:tc>
          <w:tcPr>
            <w:tcW w:w="9654" w:type="dxa"/>
            <w:gridSpan w:val="3"/>
            <w:tcMar>
              <w:top w:w="57" w:type="dxa"/>
              <w:bottom w:w="0" w:type="dxa"/>
            </w:tcMar>
          </w:tcPr>
          <w:p w14:paraId="59E1A890" w14:textId="77777777" w:rsidR="003A33C5" w:rsidRPr="0016058D" w:rsidRDefault="003A33C5" w:rsidP="00E67A65">
            <w:pPr>
              <w:spacing w:line="240" w:lineRule="auto"/>
              <w:ind w:right="74"/>
              <w:rPr>
                <w:rFonts w:eastAsia="SimSun" w:cs="Arial"/>
                <w:sz w:val="16"/>
                <w:szCs w:val="16"/>
                <w:lang w:val="es-ES_tradnl"/>
              </w:rPr>
            </w:pPr>
            <w:r w:rsidRPr="0016058D">
              <w:rPr>
                <w:sz w:val="16"/>
                <w:lang w:val="es-ES_tradnl"/>
              </w:rPr>
              <w:t>Correo electrónico</w:t>
            </w:r>
          </w:p>
          <w:p w14:paraId="410C83B7" w14:textId="77777777" w:rsidR="003A33C5" w:rsidRPr="0016058D" w:rsidRDefault="003A33C5" w:rsidP="00E67A65">
            <w:pPr>
              <w:spacing w:line="240" w:lineRule="auto"/>
              <w:ind w:right="74"/>
              <w:rPr>
                <w:rFonts w:eastAsia="SimSun" w:cs="Arial"/>
                <w:sz w:val="16"/>
                <w:szCs w:val="16"/>
                <w:lang w:val="es-ES_tradnl"/>
              </w:rPr>
            </w:pPr>
          </w:p>
          <w:p w14:paraId="1825D06F" w14:textId="77777777" w:rsidR="003A33C5" w:rsidRPr="0016058D" w:rsidRDefault="003A33C5" w:rsidP="00E67A65">
            <w:pPr>
              <w:spacing w:line="240" w:lineRule="auto"/>
              <w:ind w:right="74"/>
              <w:rPr>
                <w:rFonts w:eastAsia="SimSun" w:cs="Arial"/>
                <w:sz w:val="16"/>
                <w:szCs w:val="16"/>
                <w:lang w:val="es-ES_tradnl"/>
              </w:rPr>
            </w:pPr>
          </w:p>
        </w:tc>
      </w:tr>
      <w:tr w:rsidR="003A33C5" w:rsidRPr="0016058D" w14:paraId="67704BBA" w14:textId="77777777" w:rsidTr="00E67A65">
        <w:trPr>
          <w:cantSplit/>
        </w:trPr>
        <w:tc>
          <w:tcPr>
            <w:tcW w:w="4859" w:type="dxa"/>
            <w:tcMar>
              <w:top w:w="57" w:type="dxa"/>
              <w:bottom w:w="0" w:type="dxa"/>
            </w:tcMar>
          </w:tcPr>
          <w:p w14:paraId="62D3B710"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Fecha</w:t>
            </w:r>
          </w:p>
          <w:p w14:paraId="6F22BB66" w14:textId="77777777" w:rsidR="003A33C5" w:rsidRPr="0016058D" w:rsidRDefault="003A33C5" w:rsidP="00E67A65">
            <w:pPr>
              <w:spacing w:line="240" w:lineRule="auto"/>
              <w:ind w:right="74"/>
              <w:rPr>
                <w:rFonts w:cs="Arial"/>
                <w:sz w:val="16"/>
                <w:szCs w:val="16"/>
                <w:lang w:val="es-ES_tradnl"/>
              </w:rPr>
            </w:pPr>
          </w:p>
          <w:p w14:paraId="227C290C" w14:textId="77777777" w:rsidR="003A33C5" w:rsidRPr="0016058D" w:rsidRDefault="003A33C5" w:rsidP="00E67A65">
            <w:pPr>
              <w:spacing w:line="240" w:lineRule="auto"/>
              <w:ind w:right="74"/>
              <w:rPr>
                <w:rFonts w:cs="Arial"/>
                <w:sz w:val="16"/>
                <w:szCs w:val="16"/>
                <w:lang w:val="es-ES_tradnl"/>
              </w:rPr>
            </w:pPr>
          </w:p>
        </w:tc>
        <w:tc>
          <w:tcPr>
            <w:tcW w:w="4795" w:type="dxa"/>
            <w:gridSpan w:val="2"/>
            <w:tcMar>
              <w:top w:w="57" w:type="dxa"/>
              <w:bottom w:w="0" w:type="dxa"/>
            </w:tcMar>
          </w:tcPr>
          <w:p w14:paraId="103F87E8" w14:textId="77777777" w:rsidR="003A33C5" w:rsidRPr="0016058D" w:rsidRDefault="003A33C5" w:rsidP="00E67A65">
            <w:pPr>
              <w:spacing w:line="240" w:lineRule="auto"/>
              <w:ind w:right="74"/>
              <w:rPr>
                <w:rFonts w:cs="Arial"/>
                <w:sz w:val="16"/>
                <w:szCs w:val="16"/>
                <w:lang w:val="es-ES_tradnl"/>
              </w:rPr>
            </w:pPr>
            <w:r w:rsidRPr="0016058D">
              <w:rPr>
                <w:sz w:val="16"/>
                <w:lang w:val="es-ES_tradnl"/>
              </w:rPr>
              <w:t>Firma</w:t>
            </w:r>
          </w:p>
          <w:p w14:paraId="704D7AE3" w14:textId="77777777" w:rsidR="003A33C5" w:rsidRPr="0016058D" w:rsidRDefault="003A33C5" w:rsidP="00E67A65">
            <w:pPr>
              <w:spacing w:line="240" w:lineRule="auto"/>
              <w:ind w:right="74"/>
              <w:rPr>
                <w:rFonts w:eastAsia="SimSun" w:cs="Arial"/>
                <w:sz w:val="16"/>
                <w:szCs w:val="16"/>
                <w:lang w:val="es-ES_tradnl"/>
              </w:rPr>
            </w:pPr>
          </w:p>
        </w:tc>
      </w:tr>
    </w:tbl>
    <w:p w14:paraId="5A1602C0" w14:textId="77777777" w:rsidR="003A33C5" w:rsidRPr="0016058D" w:rsidRDefault="003A33C5" w:rsidP="003A33C5">
      <w:pPr>
        <w:jc w:val="both"/>
        <w:rPr>
          <w:rFonts w:cs="Arial"/>
          <w:lang w:val="es-ES_tradnl"/>
        </w:rPr>
      </w:pPr>
    </w:p>
    <w:p w14:paraId="05CB5567" w14:textId="64980637" w:rsidR="005C4305" w:rsidRPr="0016058D" w:rsidRDefault="005C4305">
      <w:pPr>
        <w:spacing w:line="240" w:lineRule="auto"/>
        <w:rPr>
          <w:b/>
          <w:bCs/>
          <w:lang w:val="es-ES_tradnl"/>
        </w:rPr>
      </w:pPr>
      <w:r w:rsidRPr="0016058D">
        <w:rPr>
          <w:lang w:val="es-ES_tradnl"/>
        </w:rPr>
        <w:br w:type="page"/>
      </w:r>
    </w:p>
    <w:p w14:paraId="1EC6313B" w14:textId="4995758C" w:rsidR="003A33C5" w:rsidRPr="0016058D" w:rsidRDefault="003A33C5" w:rsidP="000648DF">
      <w:pPr>
        <w:pStyle w:val="0Textedebase"/>
        <w:spacing w:line="220" w:lineRule="atLeast"/>
        <w:rPr>
          <w:b/>
          <w:bCs/>
          <w:lang w:val="es-ES_tradnl"/>
        </w:rPr>
      </w:pPr>
      <w:r w:rsidRPr="0016058D">
        <w:rPr>
          <w:b/>
          <w:lang w:val="es-ES_tradnl"/>
        </w:rPr>
        <w:lastRenderedPageBreak/>
        <w:t>Introducción</w:t>
      </w:r>
    </w:p>
    <w:p w14:paraId="345B59A2" w14:textId="77777777" w:rsidR="003A33C5" w:rsidRPr="0016058D" w:rsidRDefault="003A33C5" w:rsidP="000648DF">
      <w:pPr>
        <w:pStyle w:val="0Textedebase"/>
        <w:spacing w:line="220" w:lineRule="atLeast"/>
        <w:rPr>
          <w:lang w:val="es-ES_tradnl"/>
        </w:rPr>
      </w:pPr>
    </w:p>
    <w:p w14:paraId="2F8A7458" w14:textId="28766A90" w:rsidR="003A33C5" w:rsidRPr="0016058D" w:rsidRDefault="003A33C5" w:rsidP="000648DF">
      <w:pPr>
        <w:pStyle w:val="0Textedebase"/>
        <w:spacing w:line="220" w:lineRule="atLeast"/>
        <w:rPr>
          <w:lang w:val="es-ES_tradnl"/>
        </w:rPr>
      </w:pPr>
      <w:r w:rsidRPr="0016058D">
        <w:rPr>
          <w:lang w:val="es-ES_tradnl"/>
        </w:rPr>
        <w:t>La siguiente información es necesaria para la notificación de las tasas autodeclaradas para las encomiendas postales con efecto a partir del 1º de enero de 2027:</w:t>
      </w:r>
    </w:p>
    <w:p w14:paraId="6D9E1B4C" w14:textId="4B957A26" w:rsidR="003A33C5"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Las tasas autodeclaradas deberán expresarse tanto en una tasa por envío como en una tasa por kilogramo en moneda local o en derechos especiales de giro (DEG).</w:t>
      </w:r>
    </w:p>
    <w:p w14:paraId="0BF9126D" w14:textId="46BE89A5" w:rsidR="00230456"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 xml:space="preserve">Las tasas autodeclaradas no deberán superar el ingreso máximo que se describe en la </w:t>
      </w:r>
      <w:r w:rsidR="00F1449F" w:rsidRPr="0016058D">
        <w:rPr>
          <w:lang w:val="es-ES_tradnl"/>
        </w:rPr>
        <w:t>parte</w:t>
      </w:r>
      <w:r w:rsidRPr="0016058D">
        <w:rPr>
          <w:lang w:val="es-ES_tradnl"/>
        </w:rPr>
        <w:t xml:space="preserve"> B del oficio, en particular los puntos 7º y 8º </w:t>
      </w:r>
      <w:r w:rsidR="00BB1683" w:rsidRPr="0016058D">
        <w:rPr>
          <w:lang w:val="es-ES_tradnl"/>
        </w:rPr>
        <w:t>del apartado</w:t>
      </w:r>
      <w:r w:rsidRPr="0016058D">
        <w:rPr>
          <w:lang w:val="es-ES_tradnl"/>
        </w:rPr>
        <w:t xml:space="preserve"> «Condiciones aplicables a las tasas autodeclaradas».</w:t>
      </w:r>
    </w:p>
    <w:p w14:paraId="13B055B2" w14:textId="6A251759" w:rsidR="00957C85"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 xml:space="preserve">Las tasas autodeclaradas deberán cumplir con todas las condiciones que se especifican en el artículo 33 del Convenio. </w:t>
      </w:r>
    </w:p>
    <w:p w14:paraId="550C566E" w14:textId="2BFD8E2B" w:rsidR="003A33C5"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 xml:space="preserve">Con relación a las mencionadas tarifas internas aplicables a un envío único, deben proporcionarse indicando la tasa del IVA u otros impuestos incluidos. </w:t>
      </w:r>
    </w:p>
    <w:p w14:paraId="555C9B71" w14:textId="3943E37C" w:rsidR="003A33C5"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Es importante indicar claramente si el servicio básico para el cual se brinda la información de las tarifas internas incluye la prueba de la distribución en los casos en que no se ofrece el servicio interno sin este elemento. Esta información debería suministrarse para cada uno de los siete escalones de peso de forma separada.</w:t>
      </w:r>
    </w:p>
    <w:p w14:paraId="5CC42F6A" w14:textId="7C7ADA0B" w:rsidR="003A33C5" w:rsidRPr="0016058D" w:rsidRDefault="00A01130" w:rsidP="00A01130">
      <w:pPr>
        <w:pStyle w:val="1Premierretrait"/>
        <w:numPr>
          <w:ilvl w:val="0"/>
          <w:numId w:val="0"/>
        </w:numPr>
        <w:spacing w:line="220" w:lineRule="atLeast"/>
        <w:ind w:left="567" w:hanging="567"/>
        <w:rPr>
          <w:lang w:val="es-ES_tradnl"/>
        </w:rPr>
      </w:pPr>
      <w:r w:rsidRPr="0016058D">
        <w:rPr>
          <w:lang w:val="es-ES_tradnl"/>
        </w:rPr>
        <w:t>–</w:t>
      </w:r>
      <w:r w:rsidRPr="0016058D">
        <w:rPr>
          <w:lang w:val="es-ES_tradnl"/>
        </w:rPr>
        <w:tab/>
        <w:t>Debería indicarse una fuente de verificación con respecto a toda la información brindada. Esta fuente de verificación podría ser un sitio web de acceso público en donde se especifiquen claramente la información sobre las tarifas y las especificaciones de los servicios, también podría ser información en folletos de los productos, legislación o reglamentación postal o una confirmación por escrito del regulador. La Oficina Internacional de la UPU verificará la información con respecto a la fuente proporcionada.</w:t>
      </w:r>
    </w:p>
    <w:p w14:paraId="7AE8848E" w14:textId="3D192668" w:rsidR="003A33C5" w:rsidRPr="0016058D" w:rsidRDefault="003A33C5" w:rsidP="000648DF">
      <w:pPr>
        <w:pStyle w:val="0Textedebase"/>
        <w:spacing w:line="220" w:lineRule="atLeast"/>
        <w:rPr>
          <w:lang w:val="es-ES_tradnl"/>
        </w:rPr>
      </w:pPr>
    </w:p>
    <w:p w14:paraId="417F5AAE" w14:textId="6986C83C" w:rsidR="00AB1169" w:rsidRPr="0016058D" w:rsidRDefault="00AB1169" w:rsidP="000648DF">
      <w:pPr>
        <w:spacing w:line="220" w:lineRule="atLeast"/>
        <w:rPr>
          <w:b/>
          <w:bCs/>
          <w:lang w:val="es-ES_tradnl"/>
        </w:rPr>
      </w:pPr>
    </w:p>
    <w:p w14:paraId="1D20DD78" w14:textId="43CA4329" w:rsidR="003A33C5" w:rsidRPr="0016058D" w:rsidRDefault="003A33C5" w:rsidP="000648DF">
      <w:pPr>
        <w:pStyle w:val="0Textedebase"/>
        <w:spacing w:line="220" w:lineRule="atLeast"/>
        <w:rPr>
          <w:b/>
          <w:bCs/>
          <w:lang w:val="es-ES_tradnl"/>
        </w:rPr>
      </w:pPr>
      <w:r w:rsidRPr="0016058D">
        <w:rPr>
          <w:b/>
          <w:lang w:val="es-ES_tradnl"/>
        </w:rPr>
        <w:t>Notificación</w:t>
      </w:r>
    </w:p>
    <w:p w14:paraId="10DD081B" w14:textId="7FB0D884" w:rsidR="003A33C5" w:rsidRPr="0016058D" w:rsidRDefault="003A33C5" w:rsidP="000648DF">
      <w:pPr>
        <w:pStyle w:val="0Textedebase"/>
        <w:spacing w:line="220" w:lineRule="atLeast"/>
        <w:rPr>
          <w:lang w:val="es-ES_tradnl"/>
        </w:rPr>
      </w:pPr>
    </w:p>
    <w:p w14:paraId="0A8CC08A" w14:textId="4D2A5B1D" w:rsidR="003A33C5" w:rsidRPr="0016058D" w:rsidRDefault="003A33C5" w:rsidP="000648DF">
      <w:pPr>
        <w:pStyle w:val="0Textedebase"/>
        <w:spacing w:line="220" w:lineRule="atLeast"/>
        <w:rPr>
          <w:lang w:val="es-ES_tradnl"/>
        </w:rPr>
      </w:pPr>
      <w:r w:rsidRPr="0016058D">
        <w:rPr>
          <w:lang w:val="es-ES_tradnl"/>
        </w:rPr>
        <w:t>Las tasas autodeclaradas (cuadros 1 y 2) deben proporcionarse en moneda local o en DEG; la información sobre las tarifas internas (cuadros 3 a 10) debe proporcionarse en moneda local.</w:t>
      </w:r>
    </w:p>
    <w:p w14:paraId="54C3219C" w14:textId="77777777" w:rsidR="003A33C5" w:rsidRPr="0016058D" w:rsidRDefault="003A33C5" w:rsidP="000648DF">
      <w:pPr>
        <w:pStyle w:val="0Textedebase"/>
        <w:spacing w:line="220" w:lineRule="atLeast"/>
        <w:rPr>
          <w:lang w:val="es-ES_tradnl"/>
        </w:rPr>
      </w:pPr>
    </w:p>
    <w:p w14:paraId="5CED2F58" w14:textId="609DF42D" w:rsidR="003A33C5" w:rsidRPr="0016058D" w:rsidRDefault="003A33C5" w:rsidP="000648DF">
      <w:pPr>
        <w:pStyle w:val="0Textedebase"/>
        <w:tabs>
          <w:tab w:val="right" w:pos="9631"/>
        </w:tabs>
        <w:spacing w:line="220" w:lineRule="atLeast"/>
        <w:rPr>
          <w:lang w:val="es-ES_tradnl"/>
        </w:rPr>
      </w:pPr>
      <w:r w:rsidRPr="0016058D">
        <w:rPr>
          <w:lang w:val="es-ES_tradnl"/>
        </w:rPr>
        <w:t>Moneda local utilizada a efectos de esta notificación:</w:t>
      </w:r>
      <w:r w:rsidRPr="0016058D">
        <w:rPr>
          <w:u w:val="single"/>
          <w:lang w:val="es-ES_tradnl"/>
        </w:rPr>
        <w:tab/>
      </w:r>
    </w:p>
    <w:p w14:paraId="123E1C5C" w14:textId="77777777" w:rsidR="007A71CA" w:rsidRPr="0016058D" w:rsidRDefault="007A71CA" w:rsidP="000648DF">
      <w:pPr>
        <w:pStyle w:val="0Textedebase"/>
        <w:spacing w:line="220" w:lineRule="atLeast"/>
        <w:rPr>
          <w:lang w:val="es-ES_tradnl"/>
        </w:rPr>
      </w:pPr>
    </w:p>
    <w:p w14:paraId="77A8830E" w14:textId="4A3E159A" w:rsidR="003A33C5" w:rsidRPr="0016058D" w:rsidRDefault="003A33C5" w:rsidP="000648DF">
      <w:pPr>
        <w:pStyle w:val="0Textedebase"/>
        <w:spacing w:line="220" w:lineRule="atLeast"/>
        <w:rPr>
          <w:i/>
          <w:iCs/>
          <w:lang w:val="es-ES_tradnl"/>
        </w:rPr>
      </w:pPr>
      <w:r w:rsidRPr="0016058D">
        <w:rPr>
          <w:i/>
          <w:lang w:val="es-ES_tradnl"/>
        </w:rPr>
        <w:t>Cuadro 1 – Tasas autodeclaradas para las encomiendas, sin incluir impuestos, expresadas en moneda local o en DEG para los flujos de llegada</w:t>
      </w:r>
    </w:p>
    <w:p w14:paraId="75EF6485" w14:textId="77777777" w:rsidR="00671A0E" w:rsidRPr="0016058D" w:rsidRDefault="00671A0E" w:rsidP="000648DF">
      <w:pPr>
        <w:pStyle w:val="0Textedebase"/>
        <w:spacing w:line="220" w:lineRule="atLeast"/>
        <w:rPr>
          <w:i/>
          <w:iCs/>
          <w:lang w:val="es-ES_tradnl"/>
        </w:rPr>
      </w:pPr>
    </w:p>
    <w:tbl>
      <w:tblPr>
        <w:tblStyle w:val="Tablaconcuadrcula"/>
        <w:tblW w:w="5000" w:type="pct"/>
        <w:tblLook w:val="04A0" w:firstRow="1" w:lastRow="0" w:firstColumn="1" w:lastColumn="0" w:noHBand="0" w:noVBand="1"/>
      </w:tblPr>
      <w:tblGrid>
        <w:gridCol w:w="4814"/>
        <w:gridCol w:w="4814"/>
      </w:tblGrid>
      <w:tr w:rsidR="00E774D5" w:rsidRPr="0016058D" w14:paraId="342F1828" w14:textId="77777777" w:rsidTr="00840AFA">
        <w:trPr>
          <w:trHeight w:val="20"/>
        </w:trPr>
        <w:tc>
          <w:tcPr>
            <w:tcW w:w="2500" w:type="pct"/>
            <w:tcBorders>
              <w:bottom w:val="single" w:sz="4" w:space="0" w:color="auto"/>
            </w:tcBorders>
          </w:tcPr>
          <w:p w14:paraId="2361EC91" w14:textId="77777777" w:rsidR="00E774D5" w:rsidRPr="0016058D" w:rsidRDefault="00E774D5" w:rsidP="000648DF">
            <w:pPr>
              <w:spacing w:before="60" w:after="60" w:line="220" w:lineRule="atLeast"/>
              <w:rPr>
                <w:lang w:val="es-ES_tradnl"/>
              </w:rPr>
            </w:pPr>
            <w:r w:rsidRPr="0016058D">
              <w:rPr>
                <w:lang w:val="es-ES_tradnl"/>
              </w:rPr>
              <w:t xml:space="preserve">Tasa autodeclarada por envío </w:t>
            </w:r>
          </w:p>
        </w:tc>
        <w:tc>
          <w:tcPr>
            <w:tcW w:w="2500" w:type="pct"/>
            <w:tcBorders>
              <w:bottom w:val="single" w:sz="4" w:space="0" w:color="auto"/>
            </w:tcBorders>
          </w:tcPr>
          <w:p w14:paraId="7EBD3AEF" w14:textId="77777777" w:rsidR="00E774D5" w:rsidRPr="0016058D" w:rsidRDefault="00E774D5" w:rsidP="000648DF">
            <w:pPr>
              <w:spacing w:before="60" w:after="60" w:line="220" w:lineRule="atLeast"/>
              <w:rPr>
                <w:lang w:val="es-ES_tradnl"/>
              </w:rPr>
            </w:pPr>
          </w:p>
        </w:tc>
      </w:tr>
      <w:tr w:rsidR="00E774D5" w:rsidRPr="0016058D" w14:paraId="450DCE50" w14:textId="77777777" w:rsidTr="00840AFA">
        <w:trPr>
          <w:trHeight w:val="20"/>
        </w:trPr>
        <w:tc>
          <w:tcPr>
            <w:tcW w:w="2500" w:type="pct"/>
          </w:tcPr>
          <w:p w14:paraId="4BEE46A3" w14:textId="77777777" w:rsidR="00E774D5" w:rsidRPr="0016058D" w:rsidRDefault="00E774D5" w:rsidP="000648DF">
            <w:pPr>
              <w:spacing w:before="60" w:after="60" w:line="220" w:lineRule="atLeast"/>
              <w:rPr>
                <w:lang w:val="es-ES_tradnl"/>
              </w:rPr>
            </w:pPr>
            <w:r w:rsidRPr="0016058D">
              <w:rPr>
                <w:lang w:val="es-ES_tradnl"/>
              </w:rPr>
              <w:t xml:space="preserve">Tasa autodeclarada por kilogramo </w:t>
            </w:r>
          </w:p>
        </w:tc>
        <w:tc>
          <w:tcPr>
            <w:tcW w:w="2500" w:type="pct"/>
          </w:tcPr>
          <w:p w14:paraId="0F18C325" w14:textId="77777777" w:rsidR="00E774D5" w:rsidRPr="0016058D" w:rsidRDefault="00E774D5" w:rsidP="000648DF">
            <w:pPr>
              <w:spacing w:before="60" w:after="60" w:line="220" w:lineRule="atLeast"/>
              <w:rPr>
                <w:lang w:val="es-ES_tradnl"/>
              </w:rPr>
            </w:pPr>
          </w:p>
        </w:tc>
      </w:tr>
      <w:tr w:rsidR="00E774D5" w:rsidRPr="0016058D" w14:paraId="5F62FF63" w14:textId="77777777" w:rsidTr="00840AFA">
        <w:trPr>
          <w:trHeight w:val="20"/>
        </w:trPr>
        <w:tc>
          <w:tcPr>
            <w:tcW w:w="2500" w:type="pct"/>
            <w:tcBorders>
              <w:bottom w:val="single" w:sz="4" w:space="0" w:color="auto"/>
            </w:tcBorders>
          </w:tcPr>
          <w:p w14:paraId="0505E2DD" w14:textId="525666AD" w:rsidR="00E774D5" w:rsidRPr="0016058D" w:rsidRDefault="00E774D5" w:rsidP="000648DF">
            <w:pPr>
              <w:spacing w:before="60" w:after="60" w:line="220" w:lineRule="atLeast"/>
              <w:rPr>
                <w:lang w:val="es-ES_tradnl"/>
              </w:rPr>
            </w:pPr>
            <w:r w:rsidRPr="0016058D">
              <w:rPr>
                <w:i/>
                <w:lang w:val="es-ES_tradnl"/>
              </w:rPr>
              <w:t>Moneda (moneda local o DEG)</w:t>
            </w:r>
          </w:p>
        </w:tc>
        <w:tc>
          <w:tcPr>
            <w:tcW w:w="2500" w:type="pct"/>
            <w:tcBorders>
              <w:bottom w:val="single" w:sz="4" w:space="0" w:color="auto"/>
            </w:tcBorders>
          </w:tcPr>
          <w:p w14:paraId="4DDCEEE8" w14:textId="77777777" w:rsidR="00E774D5" w:rsidRPr="0016058D" w:rsidRDefault="00E774D5" w:rsidP="000648DF">
            <w:pPr>
              <w:spacing w:before="60" w:after="60" w:line="220" w:lineRule="atLeast"/>
              <w:rPr>
                <w:lang w:val="es-ES_tradnl"/>
              </w:rPr>
            </w:pPr>
          </w:p>
        </w:tc>
      </w:tr>
    </w:tbl>
    <w:p w14:paraId="566D4692" w14:textId="07E48317" w:rsidR="003A33C5" w:rsidRPr="0016058D" w:rsidRDefault="003A33C5" w:rsidP="000648DF">
      <w:pPr>
        <w:pStyle w:val="0Textedebase"/>
        <w:spacing w:line="220" w:lineRule="atLeast"/>
        <w:rPr>
          <w:lang w:val="es-ES_tradnl"/>
        </w:rPr>
      </w:pPr>
    </w:p>
    <w:p w14:paraId="0DA31294" w14:textId="77777777" w:rsidR="000648DF" w:rsidRPr="0016058D" w:rsidRDefault="005120F9" w:rsidP="000648DF">
      <w:pPr>
        <w:pStyle w:val="0Textedebase"/>
        <w:spacing w:line="220" w:lineRule="atLeast"/>
        <w:rPr>
          <w:lang w:val="es-ES_tradnl"/>
        </w:rPr>
      </w:pPr>
      <w:r w:rsidRPr="0016058D">
        <w:rPr>
          <w:lang w:val="es-ES_tradnl"/>
        </w:rPr>
        <w:t>Aplicable únicamente a los operadores designados de los países clasificados en el grupo C: ¿desea reemplazar el ingreso máximo por las tasas básicas por encomienda y por kilogramo del año 2026 (cuotas-parte territoriales de llegada), con un aumento de 40% y una reducción posterior de 1,200 DEG por encomienda? Si selecciona «Sí», la presente notificación debe estar acompañada de una determinación por la autoridad competente que confirme que las tarifas internas aplicables a las encomiendas no están fijadas con relación a los costos.</w:t>
      </w:r>
    </w:p>
    <w:p w14:paraId="4153AC05" w14:textId="77777777" w:rsidR="001F1C20" w:rsidRPr="0016058D" w:rsidRDefault="001F1C20" w:rsidP="000648DF">
      <w:pPr>
        <w:spacing w:before="120" w:line="220" w:lineRule="atLeast"/>
        <w:ind w:left="567" w:hanging="567"/>
        <w:rPr>
          <w:rFonts w:cs="Arial"/>
          <w:lang w:val="es-ES_tradnl"/>
        </w:rPr>
      </w:pPr>
      <w:r w:rsidRPr="0016058D">
        <w:rPr>
          <w:sz w:val="24"/>
          <w:lang w:val="es-ES_tradnl"/>
        </w:rPr>
        <w:sym w:font="Wingdings" w:char="F072"/>
      </w:r>
      <w:r w:rsidRPr="0016058D">
        <w:rPr>
          <w:sz w:val="24"/>
          <w:lang w:val="es-ES_tradnl"/>
        </w:rPr>
        <w:tab/>
      </w:r>
      <w:r w:rsidRPr="0016058D">
        <w:rPr>
          <w:lang w:val="es-ES_tradnl"/>
        </w:rPr>
        <w:t>Sí (los otros cuadros de este cuestionario igual deben completarse)</w:t>
      </w:r>
    </w:p>
    <w:p w14:paraId="41FB167B" w14:textId="77777777" w:rsidR="001F1C20" w:rsidRPr="0016058D" w:rsidRDefault="001F1C20" w:rsidP="000648DF">
      <w:pPr>
        <w:pStyle w:val="0Textedebase"/>
        <w:spacing w:before="120" w:line="220" w:lineRule="atLeast"/>
        <w:ind w:left="567" w:hanging="567"/>
        <w:rPr>
          <w:lang w:val="es-ES_tradnl"/>
        </w:rPr>
      </w:pPr>
      <w:r w:rsidRPr="0016058D">
        <w:rPr>
          <w:sz w:val="24"/>
          <w:lang w:val="es-ES_tradnl"/>
        </w:rPr>
        <w:sym w:font="Wingdings" w:char="F072"/>
      </w:r>
      <w:r w:rsidRPr="0016058D">
        <w:rPr>
          <w:sz w:val="24"/>
          <w:lang w:val="es-ES_tradnl"/>
        </w:rPr>
        <w:tab/>
      </w:r>
      <w:r w:rsidRPr="0016058D">
        <w:rPr>
          <w:lang w:val="es-ES_tradnl"/>
        </w:rPr>
        <w:t>No</w:t>
      </w:r>
    </w:p>
    <w:p w14:paraId="028C2B72" w14:textId="42E5499C" w:rsidR="007E0ECF" w:rsidRPr="0016058D" w:rsidRDefault="007E0ECF">
      <w:pPr>
        <w:spacing w:line="240" w:lineRule="auto"/>
        <w:rPr>
          <w:lang w:val="es-ES_tradnl"/>
        </w:rPr>
      </w:pPr>
      <w:r w:rsidRPr="0016058D">
        <w:rPr>
          <w:lang w:val="es-ES_tradnl"/>
        </w:rPr>
        <w:br w:type="page"/>
      </w:r>
    </w:p>
    <w:p w14:paraId="1385205B" w14:textId="34A13BBC" w:rsidR="003A4D77" w:rsidRPr="0016058D" w:rsidRDefault="003A4D77" w:rsidP="000648DF">
      <w:pPr>
        <w:pStyle w:val="0Textedebase"/>
        <w:spacing w:line="220" w:lineRule="atLeast"/>
        <w:rPr>
          <w:i/>
          <w:iCs/>
          <w:lang w:val="es-ES_tradnl"/>
        </w:rPr>
      </w:pPr>
      <w:r w:rsidRPr="0016058D">
        <w:rPr>
          <w:i/>
          <w:lang w:val="es-ES_tradnl"/>
        </w:rPr>
        <w:lastRenderedPageBreak/>
        <w:t>Cuadro 2 – Tasas suplementarias autodeclaradas para la distribución de encomiendas en zonas no contiguas, sin incluir impuestos, expresadas en moneda local o en DEG para los flujos de llegada</w:t>
      </w:r>
      <w:r w:rsidR="00893A00" w:rsidRPr="0016058D">
        <w:rPr>
          <w:rStyle w:val="Refdenotaalpie"/>
          <w:lang w:val="es-ES_tradnl"/>
        </w:rPr>
        <w:footnoteReference w:id="2"/>
      </w:r>
    </w:p>
    <w:p w14:paraId="7536FED9" w14:textId="77777777" w:rsidR="003A4D77" w:rsidRPr="0016058D" w:rsidRDefault="003A4D77" w:rsidP="000648DF">
      <w:pPr>
        <w:pStyle w:val="0Textedebase"/>
        <w:spacing w:line="220" w:lineRule="atLeast"/>
        <w:rPr>
          <w:i/>
          <w:iCs/>
          <w:lang w:val="es-ES_tradnl"/>
        </w:rPr>
      </w:pPr>
    </w:p>
    <w:tbl>
      <w:tblPr>
        <w:tblStyle w:val="Tablaconcuadrcula"/>
        <w:tblW w:w="5000" w:type="pct"/>
        <w:tblLook w:val="04A0" w:firstRow="1" w:lastRow="0" w:firstColumn="1" w:lastColumn="0" w:noHBand="0" w:noVBand="1"/>
      </w:tblPr>
      <w:tblGrid>
        <w:gridCol w:w="1926"/>
        <w:gridCol w:w="1926"/>
        <w:gridCol w:w="1927"/>
        <w:gridCol w:w="1927"/>
        <w:gridCol w:w="1927"/>
      </w:tblGrid>
      <w:tr w:rsidR="006D10F5" w:rsidRPr="0016058D" w14:paraId="5481B79C" w14:textId="2ED07DA3" w:rsidTr="001F1C20">
        <w:trPr>
          <w:trHeight w:val="20"/>
        </w:trPr>
        <w:tc>
          <w:tcPr>
            <w:tcW w:w="1000" w:type="pct"/>
            <w:tcBorders>
              <w:top w:val="nil"/>
              <w:left w:val="nil"/>
              <w:bottom w:val="single" w:sz="4" w:space="0" w:color="auto"/>
            </w:tcBorders>
          </w:tcPr>
          <w:p w14:paraId="431CF98B" w14:textId="77777777" w:rsidR="006D10F5" w:rsidRPr="0016058D" w:rsidRDefault="006D10F5" w:rsidP="000648DF">
            <w:pPr>
              <w:spacing w:before="60" w:after="60" w:line="220" w:lineRule="atLeast"/>
              <w:rPr>
                <w:i/>
                <w:iCs/>
                <w:lang w:val="es-ES_tradnl"/>
              </w:rPr>
            </w:pPr>
          </w:p>
        </w:tc>
        <w:tc>
          <w:tcPr>
            <w:tcW w:w="1000" w:type="pct"/>
            <w:tcBorders>
              <w:top w:val="single" w:sz="4" w:space="0" w:color="auto"/>
              <w:left w:val="nil"/>
              <w:bottom w:val="single" w:sz="4" w:space="0" w:color="auto"/>
              <w:right w:val="single" w:sz="4" w:space="0" w:color="auto"/>
            </w:tcBorders>
          </w:tcPr>
          <w:p w14:paraId="74ECC99B" w14:textId="3250B871" w:rsidR="006D10F5" w:rsidRPr="0016058D" w:rsidRDefault="006D10F5" w:rsidP="000648DF">
            <w:pPr>
              <w:spacing w:before="60" w:after="60" w:line="220" w:lineRule="atLeast"/>
              <w:rPr>
                <w:i/>
                <w:iCs/>
                <w:lang w:val="es-ES_tradnl"/>
              </w:rPr>
            </w:pPr>
            <w:r w:rsidRPr="0016058D">
              <w:rPr>
                <w:i/>
                <w:lang w:val="es-ES_tradnl"/>
              </w:rPr>
              <w:t>Nombre de la zona</w:t>
            </w:r>
          </w:p>
        </w:tc>
        <w:tc>
          <w:tcPr>
            <w:tcW w:w="1000" w:type="pct"/>
            <w:tcBorders>
              <w:top w:val="single" w:sz="4" w:space="0" w:color="auto"/>
              <w:left w:val="single" w:sz="4" w:space="0" w:color="auto"/>
              <w:bottom w:val="single" w:sz="4" w:space="0" w:color="auto"/>
            </w:tcBorders>
          </w:tcPr>
          <w:p w14:paraId="03D6F5B2" w14:textId="4909E96C" w:rsidR="006D10F5" w:rsidRPr="0016058D" w:rsidRDefault="006D10F5" w:rsidP="000648DF">
            <w:pPr>
              <w:spacing w:before="60" w:after="60" w:line="220" w:lineRule="atLeast"/>
              <w:rPr>
                <w:i/>
                <w:iCs/>
                <w:lang w:val="es-ES_tradnl"/>
              </w:rPr>
            </w:pPr>
            <w:r w:rsidRPr="0016058D">
              <w:rPr>
                <w:i/>
                <w:lang w:val="es-ES_tradnl"/>
              </w:rPr>
              <w:t>Tasa suplementaria autodeclarada por envío</w:t>
            </w:r>
          </w:p>
        </w:tc>
        <w:tc>
          <w:tcPr>
            <w:tcW w:w="1000" w:type="pct"/>
            <w:tcBorders>
              <w:bottom w:val="single" w:sz="4" w:space="0" w:color="auto"/>
            </w:tcBorders>
          </w:tcPr>
          <w:p w14:paraId="499E2F19" w14:textId="11F1C9CA" w:rsidR="006D10F5" w:rsidRPr="0016058D" w:rsidRDefault="006D10F5" w:rsidP="000648DF">
            <w:pPr>
              <w:spacing w:before="60" w:after="60" w:line="220" w:lineRule="atLeast"/>
              <w:rPr>
                <w:i/>
                <w:iCs/>
                <w:lang w:val="es-ES_tradnl"/>
              </w:rPr>
            </w:pPr>
            <w:r w:rsidRPr="0016058D">
              <w:rPr>
                <w:i/>
                <w:lang w:val="es-ES_tradnl"/>
              </w:rPr>
              <w:t>Moneda (moneda local o DEG)</w:t>
            </w:r>
          </w:p>
        </w:tc>
        <w:tc>
          <w:tcPr>
            <w:tcW w:w="1000" w:type="pct"/>
            <w:tcBorders>
              <w:bottom w:val="single" w:sz="4" w:space="0" w:color="auto"/>
            </w:tcBorders>
          </w:tcPr>
          <w:p w14:paraId="0F70B142" w14:textId="47318462" w:rsidR="006D10F5" w:rsidRPr="0016058D" w:rsidRDefault="006D10F5" w:rsidP="000648DF">
            <w:pPr>
              <w:spacing w:before="60" w:after="60" w:line="220" w:lineRule="atLeast"/>
              <w:rPr>
                <w:i/>
                <w:iCs/>
                <w:lang w:val="es-ES_tradnl"/>
              </w:rPr>
            </w:pPr>
            <w:r w:rsidRPr="0016058D">
              <w:rPr>
                <w:i/>
                <w:lang w:val="es-ES_tradnl"/>
              </w:rPr>
              <w:t>Rango de códigos postales que define la zona de distribución</w:t>
            </w:r>
          </w:p>
        </w:tc>
      </w:tr>
      <w:tr w:rsidR="006D10F5" w:rsidRPr="0016058D" w14:paraId="1DDFBAA8" w14:textId="714CD8B0" w:rsidTr="001F1C20">
        <w:trPr>
          <w:trHeight w:val="20"/>
        </w:trPr>
        <w:tc>
          <w:tcPr>
            <w:tcW w:w="1000" w:type="pct"/>
            <w:tcBorders>
              <w:bottom w:val="single" w:sz="4" w:space="0" w:color="auto"/>
            </w:tcBorders>
          </w:tcPr>
          <w:p w14:paraId="59DBC916" w14:textId="655BF141" w:rsidR="006D10F5" w:rsidRPr="0016058D" w:rsidRDefault="006D10F5" w:rsidP="000648DF">
            <w:pPr>
              <w:spacing w:before="60" w:after="60" w:line="220" w:lineRule="atLeast"/>
              <w:rPr>
                <w:lang w:val="es-ES_tradnl"/>
              </w:rPr>
            </w:pPr>
            <w:r w:rsidRPr="0016058D">
              <w:rPr>
                <w:lang w:val="es-ES_tradnl"/>
              </w:rPr>
              <w:t>Zona 1</w:t>
            </w:r>
          </w:p>
        </w:tc>
        <w:tc>
          <w:tcPr>
            <w:tcW w:w="1000" w:type="pct"/>
            <w:tcBorders>
              <w:bottom w:val="single" w:sz="4" w:space="0" w:color="auto"/>
            </w:tcBorders>
          </w:tcPr>
          <w:p w14:paraId="6D98F1E2" w14:textId="77777777"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5FBE2D61" w14:textId="3AFF4222"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6BC563DF" w14:textId="77777777"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2C21BC1E" w14:textId="77777777" w:rsidR="006D10F5" w:rsidRPr="0016058D" w:rsidRDefault="006D10F5" w:rsidP="000648DF">
            <w:pPr>
              <w:spacing w:before="60" w:after="60" w:line="220" w:lineRule="atLeast"/>
              <w:rPr>
                <w:lang w:val="es-ES_tradnl"/>
              </w:rPr>
            </w:pPr>
          </w:p>
        </w:tc>
      </w:tr>
      <w:tr w:rsidR="006D10F5" w:rsidRPr="0016058D" w14:paraId="6C4D9423" w14:textId="253A9F32" w:rsidTr="001F1C20">
        <w:trPr>
          <w:trHeight w:val="20"/>
        </w:trPr>
        <w:tc>
          <w:tcPr>
            <w:tcW w:w="1000" w:type="pct"/>
          </w:tcPr>
          <w:p w14:paraId="2B087F65" w14:textId="32A9C611" w:rsidR="006D10F5" w:rsidRPr="0016058D" w:rsidRDefault="006D10F5" w:rsidP="000648DF">
            <w:pPr>
              <w:spacing w:before="60" w:after="60" w:line="220" w:lineRule="atLeast"/>
              <w:rPr>
                <w:lang w:val="es-ES_tradnl"/>
              </w:rPr>
            </w:pPr>
            <w:r w:rsidRPr="0016058D">
              <w:rPr>
                <w:lang w:val="es-ES_tradnl"/>
              </w:rPr>
              <w:t>Zona 2</w:t>
            </w:r>
          </w:p>
        </w:tc>
        <w:tc>
          <w:tcPr>
            <w:tcW w:w="1000" w:type="pct"/>
          </w:tcPr>
          <w:p w14:paraId="33BC9C30" w14:textId="77777777" w:rsidR="006D10F5" w:rsidRPr="0016058D" w:rsidRDefault="006D10F5" w:rsidP="000648DF">
            <w:pPr>
              <w:spacing w:before="60" w:after="60" w:line="220" w:lineRule="atLeast"/>
              <w:rPr>
                <w:lang w:val="es-ES_tradnl"/>
              </w:rPr>
            </w:pPr>
          </w:p>
        </w:tc>
        <w:tc>
          <w:tcPr>
            <w:tcW w:w="1000" w:type="pct"/>
          </w:tcPr>
          <w:p w14:paraId="000C20A9" w14:textId="1F845BA5" w:rsidR="006D10F5" w:rsidRPr="0016058D" w:rsidRDefault="006D10F5" w:rsidP="000648DF">
            <w:pPr>
              <w:spacing w:before="60" w:after="60" w:line="220" w:lineRule="atLeast"/>
              <w:rPr>
                <w:lang w:val="es-ES_tradnl"/>
              </w:rPr>
            </w:pPr>
          </w:p>
        </w:tc>
        <w:tc>
          <w:tcPr>
            <w:tcW w:w="1000" w:type="pct"/>
          </w:tcPr>
          <w:p w14:paraId="1244DC8F" w14:textId="77777777" w:rsidR="006D10F5" w:rsidRPr="0016058D" w:rsidRDefault="006D10F5" w:rsidP="000648DF">
            <w:pPr>
              <w:spacing w:before="60" w:after="60" w:line="220" w:lineRule="atLeast"/>
              <w:rPr>
                <w:lang w:val="es-ES_tradnl"/>
              </w:rPr>
            </w:pPr>
          </w:p>
        </w:tc>
        <w:tc>
          <w:tcPr>
            <w:tcW w:w="1000" w:type="pct"/>
          </w:tcPr>
          <w:p w14:paraId="54FA01E7" w14:textId="77777777" w:rsidR="006D10F5" w:rsidRPr="0016058D" w:rsidRDefault="006D10F5" w:rsidP="000648DF">
            <w:pPr>
              <w:spacing w:before="60" w:after="60" w:line="220" w:lineRule="atLeast"/>
              <w:rPr>
                <w:lang w:val="es-ES_tradnl"/>
              </w:rPr>
            </w:pPr>
          </w:p>
        </w:tc>
      </w:tr>
      <w:tr w:rsidR="006D10F5" w:rsidRPr="0016058D" w14:paraId="65674B8A" w14:textId="1627D25D" w:rsidTr="001F1C20">
        <w:trPr>
          <w:trHeight w:val="20"/>
        </w:trPr>
        <w:tc>
          <w:tcPr>
            <w:tcW w:w="1000" w:type="pct"/>
            <w:tcBorders>
              <w:bottom w:val="single" w:sz="4" w:space="0" w:color="auto"/>
            </w:tcBorders>
          </w:tcPr>
          <w:p w14:paraId="7738EB03" w14:textId="4D1F30E0" w:rsidR="006D10F5" w:rsidRPr="0016058D" w:rsidRDefault="006D10F5" w:rsidP="000648DF">
            <w:pPr>
              <w:spacing w:before="60" w:after="60" w:line="220" w:lineRule="atLeast"/>
              <w:rPr>
                <w:lang w:val="es-ES_tradnl"/>
              </w:rPr>
            </w:pPr>
            <w:r w:rsidRPr="0016058D">
              <w:rPr>
                <w:lang w:val="es-ES_tradnl"/>
              </w:rPr>
              <w:t>Zona 3</w:t>
            </w:r>
          </w:p>
        </w:tc>
        <w:tc>
          <w:tcPr>
            <w:tcW w:w="1000" w:type="pct"/>
            <w:tcBorders>
              <w:bottom w:val="single" w:sz="4" w:space="0" w:color="auto"/>
            </w:tcBorders>
          </w:tcPr>
          <w:p w14:paraId="2C219D87" w14:textId="77777777"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5D9CDA15" w14:textId="65C0AFB5"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597B850E" w14:textId="77777777" w:rsidR="006D10F5" w:rsidRPr="0016058D" w:rsidRDefault="006D10F5" w:rsidP="000648DF">
            <w:pPr>
              <w:spacing w:before="60" w:after="60" w:line="220" w:lineRule="atLeast"/>
              <w:rPr>
                <w:lang w:val="es-ES_tradnl"/>
              </w:rPr>
            </w:pPr>
          </w:p>
        </w:tc>
        <w:tc>
          <w:tcPr>
            <w:tcW w:w="1000" w:type="pct"/>
            <w:tcBorders>
              <w:bottom w:val="single" w:sz="4" w:space="0" w:color="auto"/>
            </w:tcBorders>
          </w:tcPr>
          <w:p w14:paraId="10BDEC4A" w14:textId="77777777" w:rsidR="006D10F5" w:rsidRPr="0016058D" w:rsidRDefault="006D10F5" w:rsidP="000648DF">
            <w:pPr>
              <w:spacing w:before="60" w:after="60" w:line="220" w:lineRule="atLeast"/>
              <w:rPr>
                <w:lang w:val="es-ES_tradnl"/>
              </w:rPr>
            </w:pPr>
          </w:p>
        </w:tc>
      </w:tr>
    </w:tbl>
    <w:p w14:paraId="70E686EE" w14:textId="77777777" w:rsidR="00A12A98" w:rsidRPr="0016058D" w:rsidRDefault="00A12A98" w:rsidP="000648DF">
      <w:pPr>
        <w:pStyle w:val="0Textedebase"/>
        <w:rPr>
          <w:lang w:val="es-ES_tradnl"/>
        </w:rPr>
      </w:pPr>
    </w:p>
    <w:p w14:paraId="220FB7F4" w14:textId="4414E6C9" w:rsidR="0095297F" w:rsidRPr="0016058D" w:rsidRDefault="0095297F" w:rsidP="000648DF">
      <w:pPr>
        <w:pStyle w:val="0Textedebase"/>
        <w:rPr>
          <w:lang w:val="es-ES_tradnl"/>
        </w:rPr>
      </w:pPr>
      <w:r w:rsidRPr="0016058D">
        <w:rPr>
          <w:lang w:val="es-ES_tradnl"/>
        </w:rPr>
        <w:t>Si la prueba de la distribución está disponible en su oferta del régimen interno como un servicio opcional, sírvase indicar la sobretasa aplicable en moneda local en el cuadro 2.</w:t>
      </w:r>
    </w:p>
    <w:p w14:paraId="319424A0" w14:textId="77777777" w:rsidR="0095297F" w:rsidRPr="0016058D" w:rsidRDefault="0095297F" w:rsidP="000648DF">
      <w:pPr>
        <w:pStyle w:val="0Textedebase"/>
        <w:rPr>
          <w:i/>
          <w:iCs/>
          <w:lang w:val="es-ES_tradnl"/>
        </w:rPr>
      </w:pPr>
    </w:p>
    <w:p w14:paraId="42C8A93B" w14:textId="44478D10" w:rsidR="0095297F" w:rsidRPr="0016058D" w:rsidRDefault="0095297F" w:rsidP="000648DF">
      <w:pPr>
        <w:pStyle w:val="0Textedebase"/>
        <w:rPr>
          <w:i/>
          <w:iCs/>
          <w:lang w:val="es-ES_tradnl"/>
        </w:rPr>
      </w:pPr>
      <w:r w:rsidRPr="0016058D">
        <w:rPr>
          <w:i/>
          <w:lang w:val="es-ES_tradnl"/>
        </w:rPr>
        <w:t>Cuadro 3 – Sobretasa aplicable a la prueba de la distribución en el régimen interno</w:t>
      </w:r>
    </w:p>
    <w:p w14:paraId="27111D9E" w14:textId="77777777" w:rsidR="0095297F" w:rsidRPr="0016058D" w:rsidRDefault="0095297F" w:rsidP="000648DF">
      <w:pPr>
        <w:pStyle w:val="0Textedebase"/>
        <w:rPr>
          <w:i/>
          <w:iCs/>
          <w:lang w:val="es-ES_tradnl"/>
        </w:rPr>
      </w:pPr>
    </w:p>
    <w:tbl>
      <w:tblPr>
        <w:tblStyle w:val="Tablaconcuadrcula"/>
        <w:tblW w:w="5000" w:type="pct"/>
        <w:tblLook w:val="04A0" w:firstRow="1" w:lastRow="0" w:firstColumn="1" w:lastColumn="0" w:noHBand="0" w:noVBand="1"/>
      </w:tblPr>
      <w:tblGrid>
        <w:gridCol w:w="4814"/>
        <w:gridCol w:w="4814"/>
      </w:tblGrid>
      <w:tr w:rsidR="0095297F" w:rsidRPr="0016058D" w14:paraId="59D20ED6" w14:textId="77777777" w:rsidTr="00FC2182">
        <w:trPr>
          <w:trHeight w:val="20"/>
        </w:trPr>
        <w:tc>
          <w:tcPr>
            <w:tcW w:w="2500" w:type="pct"/>
            <w:tcBorders>
              <w:bottom w:val="single" w:sz="4" w:space="0" w:color="auto"/>
            </w:tcBorders>
          </w:tcPr>
          <w:p w14:paraId="56AA006D" w14:textId="244430EA" w:rsidR="0095297F" w:rsidRPr="0016058D" w:rsidRDefault="0095297F" w:rsidP="000648DF">
            <w:pPr>
              <w:spacing w:before="60" w:after="60"/>
              <w:rPr>
                <w:lang w:val="es-ES_tradnl"/>
              </w:rPr>
            </w:pPr>
            <w:r w:rsidRPr="0016058D">
              <w:rPr>
                <w:lang w:val="es-ES_tradnl"/>
              </w:rPr>
              <w:t>Tasa por envío (en moneda local)</w:t>
            </w:r>
          </w:p>
        </w:tc>
        <w:tc>
          <w:tcPr>
            <w:tcW w:w="2500" w:type="pct"/>
            <w:tcBorders>
              <w:bottom w:val="single" w:sz="4" w:space="0" w:color="auto"/>
            </w:tcBorders>
          </w:tcPr>
          <w:p w14:paraId="52DF411E" w14:textId="77777777" w:rsidR="0095297F" w:rsidRPr="0016058D" w:rsidRDefault="0095297F" w:rsidP="000648DF">
            <w:pPr>
              <w:spacing w:before="60" w:after="60"/>
              <w:rPr>
                <w:lang w:val="es-ES_tradnl"/>
              </w:rPr>
            </w:pPr>
          </w:p>
        </w:tc>
      </w:tr>
    </w:tbl>
    <w:p w14:paraId="6001F226" w14:textId="0C0B950B" w:rsidR="0095297F" w:rsidRPr="0016058D" w:rsidRDefault="0095297F" w:rsidP="000648DF">
      <w:pPr>
        <w:pStyle w:val="0Textedebase"/>
        <w:rPr>
          <w:lang w:val="es-ES_tradnl"/>
        </w:rPr>
      </w:pPr>
    </w:p>
    <w:p w14:paraId="6268FFD2" w14:textId="577E1740" w:rsidR="00234621" w:rsidRPr="0016058D" w:rsidRDefault="003A33C5" w:rsidP="000648DF">
      <w:pPr>
        <w:rPr>
          <w:i/>
          <w:iCs/>
          <w:lang w:val="es-ES_tradnl"/>
        </w:rPr>
      </w:pPr>
      <w:r w:rsidRPr="0016058D">
        <w:rPr>
          <w:i/>
          <w:lang w:val="es-ES_tradnl"/>
        </w:rPr>
        <w:t>Cuadro 4 – Tarifa interna para una encomienda de 250 gramos en el servicio interno, en vigor el 1º de mayo de 2026</w:t>
      </w:r>
    </w:p>
    <w:p w14:paraId="4DC44674" w14:textId="77777777" w:rsidR="00671A0E" w:rsidRPr="0016058D" w:rsidRDefault="00671A0E"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F020C" w:rsidRPr="0016058D" w14:paraId="01839F94" w14:textId="77777777" w:rsidTr="00FC2182">
        <w:tc>
          <w:tcPr>
            <w:tcW w:w="2500" w:type="pct"/>
          </w:tcPr>
          <w:p w14:paraId="712B03A9" w14:textId="4E64CC58" w:rsidR="003A33C5" w:rsidRPr="0016058D" w:rsidRDefault="003A33C5" w:rsidP="00474872">
            <w:pPr>
              <w:spacing w:before="60" w:after="60"/>
              <w:rPr>
                <w:rFonts w:cs="Arial"/>
                <w:lang w:val="es-ES_tradnl"/>
              </w:rPr>
            </w:pPr>
            <w:r w:rsidRPr="0016058D">
              <w:rPr>
                <w:lang w:val="es-ES_tradnl"/>
              </w:rPr>
              <w:t>Tasa si no se aplica la tarifación por zona (en moneda local)</w:t>
            </w:r>
          </w:p>
        </w:tc>
        <w:tc>
          <w:tcPr>
            <w:tcW w:w="2500" w:type="pct"/>
          </w:tcPr>
          <w:p w14:paraId="1A386B93" w14:textId="77777777" w:rsidR="003A33C5" w:rsidRPr="0016058D" w:rsidRDefault="003A33C5" w:rsidP="00474872">
            <w:pPr>
              <w:spacing w:before="60" w:after="60"/>
              <w:rPr>
                <w:rFonts w:cs="Arial"/>
                <w:lang w:val="es-ES_tradnl"/>
              </w:rPr>
            </w:pPr>
          </w:p>
        </w:tc>
      </w:tr>
      <w:tr w:rsidR="001F020C" w:rsidRPr="0016058D" w14:paraId="0911DFE9" w14:textId="77777777" w:rsidTr="00FC2182">
        <w:tc>
          <w:tcPr>
            <w:tcW w:w="2500" w:type="pct"/>
          </w:tcPr>
          <w:p w14:paraId="318D9495" w14:textId="2B2E0A46" w:rsidR="003A33C5" w:rsidRPr="0016058D" w:rsidRDefault="003A33C5" w:rsidP="00474872">
            <w:pPr>
              <w:spacing w:before="60" w:after="60"/>
              <w:rPr>
                <w:rFonts w:cs="Arial"/>
                <w:lang w:val="es-ES_tradnl"/>
              </w:rPr>
            </w:pPr>
            <w:r w:rsidRPr="0016058D">
              <w:rPr>
                <w:lang w:val="es-ES_tradnl"/>
              </w:rPr>
              <w:t>Tasa si se aplica la tarifación por zona (en moneda local)</w:t>
            </w:r>
          </w:p>
        </w:tc>
        <w:tc>
          <w:tcPr>
            <w:tcW w:w="2500" w:type="pct"/>
          </w:tcPr>
          <w:p w14:paraId="1F89EB3A" w14:textId="77777777" w:rsidR="003A33C5" w:rsidRPr="0016058D" w:rsidRDefault="003A33C5" w:rsidP="00474872">
            <w:pPr>
              <w:spacing w:before="60" w:after="60"/>
              <w:rPr>
                <w:rFonts w:cs="Arial"/>
                <w:lang w:val="es-ES_tradnl"/>
              </w:rPr>
            </w:pPr>
          </w:p>
        </w:tc>
      </w:tr>
      <w:tr w:rsidR="00893FAF" w:rsidRPr="0016058D" w14:paraId="567E3053" w14:textId="77777777" w:rsidTr="00FC2182">
        <w:tc>
          <w:tcPr>
            <w:tcW w:w="2500" w:type="pct"/>
            <w:tcBorders>
              <w:top w:val="single" w:sz="4" w:space="0" w:color="auto"/>
              <w:left w:val="single" w:sz="4" w:space="0" w:color="auto"/>
              <w:bottom w:val="single" w:sz="4" w:space="0" w:color="auto"/>
              <w:right w:val="single" w:sz="4" w:space="0" w:color="auto"/>
            </w:tcBorders>
          </w:tcPr>
          <w:p w14:paraId="0DC7A296" w14:textId="2B3868DC" w:rsidR="00893FAF" w:rsidRPr="0016058D" w:rsidRDefault="00C6678C" w:rsidP="00474872">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3EB50169" w14:textId="0DD32E9C" w:rsidR="00893FAF" w:rsidRPr="0016058D" w:rsidRDefault="00893FAF"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00C6678C" w:rsidRPr="0016058D">
              <w:rPr>
                <w:rStyle w:val="Refdenotaalpie"/>
                <w:rFonts w:cs="Arial"/>
                <w:lang w:val="es-ES_tradnl"/>
              </w:rPr>
              <w:footnoteReference w:id="3"/>
            </w:r>
          </w:p>
          <w:p w14:paraId="4EC429A3" w14:textId="025670B3" w:rsidR="00893FAF" w:rsidRPr="0016058D" w:rsidRDefault="00893FAF" w:rsidP="00474872">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1F020C" w:rsidRPr="0016058D" w14:paraId="4C96E36E" w14:textId="77777777" w:rsidTr="00FC2182">
        <w:tc>
          <w:tcPr>
            <w:tcW w:w="2500" w:type="pct"/>
            <w:tcBorders>
              <w:top w:val="single" w:sz="4" w:space="0" w:color="auto"/>
              <w:left w:val="single" w:sz="4" w:space="0" w:color="auto"/>
              <w:bottom w:val="single" w:sz="4" w:space="0" w:color="auto"/>
              <w:right w:val="single" w:sz="4" w:space="0" w:color="auto"/>
            </w:tcBorders>
          </w:tcPr>
          <w:p w14:paraId="4210BF63" w14:textId="77777777" w:rsidR="003A33C5" w:rsidRPr="0016058D" w:rsidRDefault="003A33C5" w:rsidP="00474872">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178B0DA3" w14:textId="77777777" w:rsidR="003A33C5" w:rsidRPr="0016058D" w:rsidRDefault="003A33C5" w:rsidP="00474872">
            <w:pPr>
              <w:spacing w:before="60" w:after="60"/>
              <w:rPr>
                <w:rFonts w:cs="Arial"/>
                <w:lang w:val="es-ES_tradnl"/>
              </w:rPr>
            </w:pPr>
          </w:p>
        </w:tc>
      </w:tr>
      <w:tr w:rsidR="001F020C" w:rsidRPr="0016058D" w14:paraId="14D57E6B" w14:textId="77777777" w:rsidTr="00FC2182">
        <w:tc>
          <w:tcPr>
            <w:tcW w:w="2500" w:type="pct"/>
            <w:tcBorders>
              <w:top w:val="single" w:sz="4" w:space="0" w:color="auto"/>
              <w:left w:val="single" w:sz="4" w:space="0" w:color="auto"/>
              <w:bottom w:val="single" w:sz="4" w:space="0" w:color="auto"/>
              <w:right w:val="single" w:sz="4" w:space="0" w:color="auto"/>
            </w:tcBorders>
          </w:tcPr>
          <w:p w14:paraId="539FDC29" w14:textId="77777777" w:rsidR="003A33C5" w:rsidRPr="0016058D" w:rsidRDefault="003A33C5" w:rsidP="00474872">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36CDEBA2" w14:textId="77777777" w:rsidR="003A33C5" w:rsidRPr="0016058D" w:rsidRDefault="003A33C5" w:rsidP="00474872">
            <w:pPr>
              <w:keepNext/>
              <w:keepLines/>
              <w:spacing w:before="60" w:after="60"/>
              <w:rPr>
                <w:rFonts w:cs="Arial"/>
                <w:lang w:val="es-ES_tradnl"/>
              </w:rPr>
            </w:pPr>
          </w:p>
        </w:tc>
      </w:tr>
      <w:tr w:rsidR="001F020C" w:rsidRPr="0016058D" w14:paraId="2753AA1B" w14:textId="77777777" w:rsidTr="00FC2182">
        <w:tc>
          <w:tcPr>
            <w:tcW w:w="2500" w:type="pct"/>
            <w:tcBorders>
              <w:top w:val="single" w:sz="4" w:space="0" w:color="auto"/>
              <w:left w:val="single" w:sz="4" w:space="0" w:color="auto"/>
              <w:right w:val="single" w:sz="4" w:space="0" w:color="auto"/>
            </w:tcBorders>
          </w:tcPr>
          <w:p w14:paraId="5D5F9D2B" w14:textId="0C002CB4" w:rsidR="003A33C5" w:rsidRPr="0016058D" w:rsidRDefault="003A33C5" w:rsidP="00474872">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5CECAE9C" w14:textId="7C3BE878" w:rsidR="003A33C5" w:rsidRPr="0016058D" w:rsidRDefault="003A33C5"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5D4CB675" w14:textId="21524E4A" w:rsidR="003A33C5" w:rsidRPr="0016058D" w:rsidRDefault="003A33C5"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1F020C" w:rsidRPr="0016058D" w14:paraId="697BE8E4" w14:textId="77777777" w:rsidTr="00FC2182">
        <w:tc>
          <w:tcPr>
            <w:tcW w:w="2500" w:type="pct"/>
            <w:tcBorders>
              <w:top w:val="single" w:sz="4" w:space="0" w:color="auto"/>
              <w:left w:val="single" w:sz="4" w:space="0" w:color="auto"/>
              <w:bottom w:val="single" w:sz="4" w:space="0" w:color="auto"/>
              <w:right w:val="single" w:sz="4" w:space="0" w:color="auto"/>
            </w:tcBorders>
          </w:tcPr>
          <w:p w14:paraId="65553788" w14:textId="77777777" w:rsidR="003A33C5" w:rsidRPr="0016058D" w:rsidRDefault="003A33C5" w:rsidP="00474872">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114043F6" w14:textId="77777777" w:rsidR="003A33C5" w:rsidRPr="0016058D" w:rsidRDefault="003A33C5" w:rsidP="00474872">
            <w:pPr>
              <w:spacing w:before="60" w:after="60"/>
              <w:rPr>
                <w:rFonts w:cs="Arial"/>
                <w:lang w:val="es-ES_tradnl"/>
              </w:rPr>
            </w:pPr>
          </w:p>
        </w:tc>
      </w:tr>
    </w:tbl>
    <w:p w14:paraId="51A25954" w14:textId="77777777" w:rsidR="003A33C5" w:rsidRPr="0016058D" w:rsidRDefault="003A33C5" w:rsidP="000648DF">
      <w:pPr>
        <w:jc w:val="both"/>
        <w:rPr>
          <w:lang w:val="es-ES_tradnl"/>
        </w:rPr>
      </w:pPr>
    </w:p>
    <w:p w14:paraId="508F99ED" w14:textId="33C5FF76" w:rsidR="004816C8" w:rsidRPr="0016058D" w:rsidRDefault="004816C8" w:rsidP="00474872">
      <w:pPr>
        <w:pageBreakBefore/>
        <w:jc w:val="both"/>
        <w:rPr>
          <w:i/>
          <w:iCs/>
          <w:lang w:val="es-ES_tradnl"/>
        </w:rPr>
      </w:pPr>
      <w:r w:rsidRPr="0016058D">
        <w:rPr>
          <w:i/>
          <w:lang w:val="es-ES_tradnl"/>
        </w:rPr>
        <w:lastRenderedPageBreak/>
        <w:t>Cuadro 5 – Tarifa interna para una encomienda de 500 gramos en el servicio interno, en vigor el 1º de mayo de 2026</w:t>
      </w:r>
    </w:p>
    <w:p w14:paraId="3011055F"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2B728C2B" w14:textId="77777777" w:rsidTr="00FC2182">
        <w:tc>
          <w:tcPr>
            <w:tcW w:w="2500" w:type="pct"/>
          </w:tcPr>
          <w:p w14:paraId="1807D30C" w14:textId="7DBFBBF8" w:rsidR="004816C8" w:rsidRPr="0016058D" w:rsidRDefault="004816C8" w:rsidP="00474872">
            <w:pPr>
              <w:spacing w:before="60" w:after="60"/>
              <w:rPr>
                <w:rFonts w:cs="Arial"/>
                <w:lang w:val="es-ES_tradnl"/>
              </w:rPr>
            </w:pPr>
            <w:r w:rsidRPr="0016058D">
              <w:rPr>
                <w:lang w:val="es-ES_tradnl"/>
              </w:rPr>
              <w:t>Tasa si no se aplica la tarifación por zona (en moneda local)</w:t>
            </w:r>
          </w:p>
        </w:tc>
        <w:tc>
          <w:tcPr>
            <w:tcW w:w="2500" w:type="pct"/>
          </w:tcPr>
          <w:p w14:paraId="7F383C69" w14:textId="77777777" w:rsidR="004816C8" w:rsidRPr="0016058D" w:rsidRDefault="004816C8" w:rsidP="00474872">
            <w:pPr>
              <w:spacing w:before="60" w:after="60"/>
              <w:rPr>
                <w:rFonts w:cs="Arial"/>
                <w:lang w:val="es-ES_tradnl"/>
              </w:rPr>
            </w:pPr>
          </w:p>
        </w:tc>
      </w:tr>
      <w:tr w:rsidR="004816C8" w:rsidRPr="0016058D" w14:paraId="3C0B3B76" w14:textId="77777777" w:rsidTr="00FC2182">
        <w:tc>
          <w:tcPr>
            <w:tcW w:w="2500" w:type="pct"/>
          </w:tcPr>
          <w:p w14:paraId="6478298E" w14:textId="5AC892F6" w:rsidR="004816C8" w:rsidRPr="0016058D" w:rsidRDefault="004816C8" w:rsidP="00474872">
            <w:pPr>
              <w:spacing w:before="60" w:after="60"/>
              <w:rPr>
                <w:rFonts w:cs="Arial"/>
                <w:lang w:val="es-ES_tradnl"/>
              </w:rPr>
            </w:pPr>
            <w:r w:rsidRPr="0016058D">
              <w:rPr>
                <w:lang w:val="es-ES_tradnl"/>
              </w:rPr>
              <w:t>Tasa si se aplica la tarifación por zona (en moneda local)</w:t>
            </w:r>
          </w:p>
        </w:tc>
        <w:tc>
          <w:tcPr>
            <w:tcW w:w="2500" w:type="pct"/>
          </w:tcPr>
          <w:p w14:paraId="70DF27EA" w14:textId="77777777" w:rsidR="004816C8" w:rsidRPr="0016058D" w:rsidRDefault="004816C8" w:rsidP="00474872">
            <w:pPr>
              <w:spacing w:before="60" w:after="60"/>
              <w:rPr>
                <w:rFonts w:cs="Arial"/>
                <w:lang w:val="es-ES_tradnl"/>
              </w:rPr>
            </w:pPr>
          </w:p>
        </w:tc>
      </w:tr>
      <w:tr w:rsidR="004816C8" w:rsidRPr="0016058D" w14:paraId="1D7E1760" w14:textId="77777777" w:rsidTr="00FC2182">
        <w:tc>
          <w:tcPr>
            <w:tcW w:w="2500" w:type="pct"/>
            <w:tcBorders>
              <w:top w:val="single" w:sz="4" w:space="0" w:color="auto"/>
              <w:left w:val="single" w:sz="4" w:space="0" w:color="auto"/>
              <w:bottom w:val="single" w:sz="4" w:space="0" w:color="auto"/>
              <w:right w:val="single" w:sz="4" w:space="0" w:color="auto"/>
            </w:tcBorders>
          </w:tcPr>
          <w:p w14:paraId="15F4F6A9" w14:textId="74201CEC" w:rsidR="004816C8" w:rsidRPr="0016058D" w:rsidRDefault="004816C8" w:rsidP="00474872">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71A76E3C" w14:textId="6912F827"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4"/>
            </w:r>
          </w:p>
          <w:p w14:paraId="3F3CE085" w14:textId="2DAFB726"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0F3516F7" w14:textId="77777777" w:rsidTr="00FC2182">
        <w:tc>
          <w:tcPr>
            <w:tcW w:w="2500" w:type="pct"/>
            <w:tcBorders>
              <w:top w:val="single" w:sz="4" w:space="0" w:color="auto"/>
              <w:left w:val="single" w:sz="4" w:space="0" w:color="auto"/>
              <w:bottom w:val="single" w:sz="4" w:space="0" w:color="auto"/>
              <w:right w:val="single" w:sz="4" w:space="0" w:color="auto"/>
            </w:tcBorders>
          </w:tcPr>
          <w:p w14:paraId="0953752D" w14:textId="77777777" w:rsidR="004816C8" w:rsidRPr="0016058D" w:rsidRDefault="004816C8" w:rsidP="00474872">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61C2F4C5" w14:textId="77777777" w:rsidR="004816C8" w:rsidRPr="0016058D" w:rsidRDefault="004816C8" w:rsidP="00474872">
            <w:pPr>
              <w:spacing w:before="60" w:after="60"/>
              <w:rPr>
                <w:rFonts w:cs="Arial"/>
                <w:lang w:val="es-ES_tradnl"/>
              </w:rPr>
            </w:pPr>
          </w:p>
        </w:tc>
      </w:tr>
      <w:tr w:rsidR="004816C8" w:rsidRPr="0016058D" w14:paraId="1865518F" w14:textId="77777777" w:rsidTr="00FC2182">
        <w:tc>
          <w:tcPr>
            <w:tcW w:w="2500" w:type="pct"/>
            <w:tcBorders>
              <w:top w:val="single" w:sz="4" w:space="0" w:color="auto"/>
              <w:left w:val="single" w:sz="4" w:space="0" w:color="auto"/>
              <w:bottom w:val="single" w:sz="4" w:space="0" w:color="auto"/>
              <w:right w:val="single" w:sz="4" w:space="0" w:color="auto"/>
            </w:tcBorders>
          </w:tcPr>
          <w:p w14:paraId="02BEBCB4" w14:textId="77777777" w:rsidR="004816C8" w:rsidRPr="0016058D" w:rsidRDefault="004816C8" w:rsidP="00474872">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6A59F6FE" w14:textId="77777777" w:rsidR="004816C8" w:rsidRPr="0016058D" w:rsidRDefault="004816C8" w:rsidP="00474872">
            <w:pPr>
              <w:keepNext/>
              <w:keepLines/>
              <w:spacing w:before="60" w:after="60"/>
              <w:rPr>
                <w:rFonts w:cs="Arial"/>
                <w:lang w:val="es-ES_tradnl"/>
              </w:rPr>
            </w:pPr>
          </w:p>
        </w:tc>
      </w:tr>
      <w:tr w:rsidR="004816C8" w:rsidRPr="0016058D" w14:paraId="4CD61F1E" w14:textId="77777777" w:rsidTr="00FC2182">
        <w:tc>
          <w:tcPr>
            <w:tcW w:w="2500" w:type="pct"/>
            <w:tcBorders>
              <w:top w:val="single" w:sz="4" w:space="0" w:color="auto"/>
              <w:left w:val="single" w:sz="4" w:space="0" w:color="auto"/>
              <w:right w:val="single" w:sz="4" w:space="0" w:color="auto"/>
            </w:tcBorders>
          </w:tcPr>
          <w:p w14:paraId="01F698EB" w14:textId="3F9B1D58" w:rsidR="004816C8" w:rsidRPr="0016058D" w:rsidRDefault="004816C8" w:rsidP="00474872">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6C552B29" w14:textId="682309D5"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1A65C227" w14:textId="582A4196"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4816C8" w:rsidRPr="0016058D" w14:paraId="4F1DC4C3" w14:textId="77777777" w:rsidTr="00FC2182">
        <w:tc>
          <w:tcPr>
            <w:tcW w:w="2500" w:type="pct"/>
            <w:tcBorders>
              <w:top w:val="single" w:sz="4" w:space="0" w:color="auto"/>
              <w:left w:val="single" w:sz="4" w:space="0" w:color="auto"/>
              <w:bottom w:val="single" w:sz="4" w:space="0" w:color="auto"/>
              <w:right w:val="single" w:sz="4" w:space="0" w:color="auto"/>
            </w:tcBorders>
          </w:tcPr>
          <w:p w14:paraId="4D74B0A4" w14:textId="77777777" w:rsidR="004816C8" w:rsidRPr="0016058D" w:rsidRDefault="004816C8" w:rsidP="00474872">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10A96F41" w14:textId="77777777" w:rsidR="004816C8" w:rsidRPr="0016058D" w:rsidRDefault="004816C8" w:rsidP="00474872">
            <w:pPr>
              <w:spacing w:before="60" w:after="60"/>
              <w:rPr>
                <w:rFonts w:cs="Arial"/>
                <w:lang w:val="es-ES_tradnl"/>
              </w:rPr>
            </w:pPr>
          </w:p>
        </w:tc>
      </w:tr>
    </w:tbl>
    <w:p w14:paraId="78EF2606" w14:textId="0E9B36F4" w:rsidR="00E67A65" w:rsidRPr="0016058D" w:rsidRDefault="00E67A65" w:rsidP="000648DF">
      <w:pPr>
        <w:jc w:val="both"/>
        <w:rPr>
          <w:lang w:val="es-ES_tradnl"/>
        </w:rPr>
      </w:pPr>
    </w:p>
    <w:p w14:paraId="417781EF" w14:textId="0F668968" w:rsidR="004816C8" w:rsidRPr="0016058D" w:rsidRDefault="004816C8" w:rsidP="000648DF">
      <w:pPr>
        <w:rPr>
          <w:i/>
          <w:iCs/>
          <w:lang w:val="es-ES_tradnl"/>
        </w:rPr>
      </w:pPr>
      <w:r w:rsidRPr="0016058D">
        <w:rPr>
          <w:i/>
          <w:lang w:val="es-ES_tradnl"/>
        </w:rPr>
        <w:t>Cuadro 6 – Tarifa interna para una encomienda de 1 kilogramo en el servicio interno, en vigor el 1º de mayo de 2026</w:t>
      </w:r>
    </w:p>
    <w:p w14:paraId="20C091B5"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66FCAD17" w14:textId="77777777" w:rsidTr="00FC2182">
        <w:tc>
          <w:tcPr>
            <w:tcW w:w="2500" w:type="pct"/>
          </w:tcPr>
          <w:p w14:paraId="16A2851A" w14:textId="3CC18360" w:rsidR="004816C8" w:rsidRPr="0016058D" w:rsidRDefault="004816C8" w:rsidP="00474872">
            <w:pPr>
              <w:spacing w:before="60" w:after="60"/>
              <w:rPr>
                <w:rFonts w:cs="Arial"/>
                <w:lang w:val="es-ES_tradnl"/>
              </w:rPr>
            </w:pPr>
            <w:r w:rsidRPr="0016058D">
              <w:rPr>
                <w:lang w:val="es-ES_tradnl"/>
              </w:rPr>
              <w:t>Tasa si no se aplica la tarifación por zona (en moneda local)</w:t>
            </w:r>
          </w:p>
        </w:tc>
        <w:tc>
          <w:tcPr>
            <w:tcW w:w="2500" w:type="pct"/>
          </w:tcPr>
          <w:p w14:paraId="73D900B2" w14:textId="77777777" w:rsidR="004816C8" w:rsidRPr="0016058D" w:rsidRDefault="004816C8" w:rsidP="00474872">
            <w:pPr>
              <w:spacing w:before="60" w:after="60"/>
              <w:rPr>
                <w:rFonts w:cs="Arial"/>
                <w:lang w:val="es-ES_tradnl"/>
              </w:rPr>
            </w:pPr>
          </w:p>
        </w:tc>
      </w:tr>
      <w:tr w:rsidR="004816C8" w:rsidRPr="0016058D" w14:paraId="0995D054" w14:textId="77777777" w:rsidTr="00FC2182">
        <w:tc>
          <w:tcPr>
            <w:tcW w:w="2500" w:type="pct"/>
          </w:tcPr>
          <w:p w14:paraId="06893216" w14:textId="501094F4" w:rsidR="004816C8" w:rsidRPr="0016058D" w:rsidRDefault="004816C8" w:rsidP="00474872">
            <w:pPr>
              <w:spacing w:before="60" w:after="60"/>
              <w:rPr>
                <w:rFonts w:cs="Arial"/>
                <w:lang w:val="es-ES_tradnl"/>
              </w:rPr>
            </w:pPr>
            <w:r w:rsidRPr="0016058D">
              <w:rPr>
                <w:lang w:val="es-ES_tradnl"/>
              </w:rPr>
              <w:t>Tasa si se aplica la tarifación por zona (en moneda local)</w:t>
            </w:r>
          </w:p>
        </w:tc>
        <w:tc>
          <w:tcPr>
            <w:tcW w:w="2500" w:type="pct"/>
          </w:tcPr>
          <w:p w14:paraId="58532A97" w14:textId="77777777" w:rsidR="004816C8" w:rsidRPr="0016058D" w:rsidRDefault="004816C8" w:rsidP="00474872">
            <w:pPr>
              <w:spacing w:before="60" w:after="60"/>
              <w:rPr>
                <w:rFonts w:cs="Arial"/>
                <w:lang w:val="es-ES_tradnl"/>
              </w:rPr>
            </w:pPr>
          </w:p>
        </w:tc>
      </w:tr>
      <w:tr w:rsidR="004816C8" w:rsidRPr="0016058D" w14:paraId="1A5B64B3" w14:textId="77777777" w:rsidTr="00FC2182">
        <w:tc>
          <w:tcPr>
            <w:tcW w:w="2500" w:type="pct"/>
            <w:tcBorders>
              <w:top w:val="single" w:sz="4" w:space="0" w:color="auto"/>
              <w:left w:val="single" w:sz="4" w:space="0" w:color="auto"/>
              <w:bottom w:val="single" w:sz="4" w:space="0" w:color="auto"/>
              <w:right w:val="single" w:sz="4" w:space="0" w:color="auto"/>
            </w:tcBorders>
          </w:tcPr>
          <w:p w14:paraId="5365E874" w14:textId="6E86D889" w:rsidR="004816C8" w:rsidRPr="0016058D" w:rsidRDefault="004816C8" w:rsidP="00474872">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07937DFD" w14:textId="45930319"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5"/>
            </w:r>
          </w:p>
          <w:p w14:paraId="40551034" w14:textId="77777777"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057E8FDD" w14:textId="77777777" w:rsidTr="00FC2182">
        <w:tc>
          <w:tcPr>
            <w:tcW w:w="2500" w:type="pct"/>
            <w:tcBorders>
              <w:top w:val="single" w:sz="4" w:space="0" w:color="auto"/>
              <w:left w:val="single" w:sz="4" w:space="0" w:color="auto"/>
              <w:bottom w:val="single" w:sz="4" w:space="0" w:color="auto"/>
              <w:right w:val="single" w:sz="4" w:space="0" w:color="auto"/>
            </w:tcBorders>
          </w:tcPr>
          <w:p w14:paraId="3F32D748" w14:textId="77777777" w:rsidR="004816C8" w:rsidRPr="0016058D" w:rsidRDefault="004816C8" w:rsidP="00474872">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1C79BE19" w14:textId="77777777" w:rsidR="004816C8" w:rsidRPr="0016058D" w:rsidRDefault="004816C8" w:rsidP="00474872">
            <w:pPr>
              <w:spacing w:before="60" w:after="60"/>
              <w:rPr>
                <w:rFonts w:cs="Arial"/>
                <w:lang w:val="es-ES_tradnl"/>
              </w:rPr>
            </w:pPr>
          </w:p>
        </w:tc>
      </w:tr>
      <w:tr w:rsidR="004816C8" w:rsidRPr="0016058D" w14:paraId="5367BD74" w14:textId="77777777" w:rsidTr="00FC2182">
        <w:tc>
          <w:tcPr>
            <w:tcW w:w="2500" w:type="pct"/>
            <w:tcBorders>
              <w:top w:val="single" w:sz="4" w:space="0" w:color="auto"/>
              <w:left w:val="single" w:sz="4" w:space="0" w:color="auto"/>
              <w:bottom w:val="single" w:sz="4" w:space="0" w:color="auto"/>
              <w:right w:val="single" w:sz="4" w:space="0" w:color="auto"/>
            </w:tcBorders>
          </w:tcPr>
          <w:p w14:paraId="6361CF66" w14:textId="77777777" w:rsidR="004816C8" w:rsidRPr="0016058D" w:rsidRDefault="004816C8" w:rsidP="00474872">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3A5E6C26" w14:textId="77777777" w:rsidR="004816C8" w:rsidRPr="0016058D" w:rsidRDefault="004816C8" w:rsidP="00474872">
            <w:pPr>
              <w:keepNext/>
              <w:keepLines/>
              <w:spacing w:before="60" w:after="60"/>
              <w:rPr>
                <w:rFonts w:cs="Arial"/>
                <w:lang w:val="es-ES_tradnl"/>
              </w:rPr>
            </w:pPr>
          </w:p>
        </w:tc>
      </w:tr>
      <w:tr w:rsidR="004816C8" w:rsidRPr="0016058D" w14:paraId="330F4539" w14:textId="77777777" w:rsidTr="00FC2182">
        <w:tc>
          <w:tcPr>
            <w:tcW w:w="2500" w:type="pct"/>
            <w:tcBorders>
              <w:top w:val="single" w:sz="4" w:space="0" w:color="auto"/>
              <w:left w:val="single" w:sz="4" w:space="0" w:color="auto"/>
              <w:right w:val="single" w:sz="4" w:space="0" w:color="auto"/>
            </w:tcBorders>
          </w:tcPr>
          <w:p w14:paraId="4DDBE833" w14:textId="66D9BB83" w:rsidR="004816C8" w:rsidRPr="0016058D" w:rsidRDefault="004816C8" w:rsidP="00474872">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0867DD4C" w14:textId="0B138DBD"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13A16E40" w14:textId="6771EF4D" w:rsidR="004816C8" w:rsidRPr="0016058D" w:rsidRDefault="004816C8" w:rsidP="00474872">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4816C8" w:rsidRPr="0016058D" w14:paraId="173B9B7A" w14:textId="77777777" w:rsidTr="00FC2182">
        <w:tc>
          <w:tcPr>
            <w:tcW w:w="2500" w:type="pct"/>
            <w:tcBorders>
              <w:top w:val="single" w:sz="4" w:space="0" w:color="auto"/>
              <w:left w:val="single" w:sz="4" w:space="0" w:color="auto"/>
              <w:bottom w:val="single" w:sz="4" w:space="0" w:color="auto"/>
              <w:right w:val="single" w:sz="4" w:space="0" w:color="auto"/>
            </w:tcBorders>
          </w:tcPr>
          <w:p w14:paraId="6BDF697B" w14:textId="77777777" w:rsidR="004816C8" w:rsidRPr="0016058D" w:rsidRDefault="004816C8" w:rsidP="00474872">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74DE825A" w14:textId="77777777" w:rsidR="004816C8" w:rsidRPr="0016058D" w:rsidRDefault="004816C8" w:rsidP="00474872">
            <w:pPr>
              <w:spacing w:before="60" w:after="60"/>
              <w:rPr>
                <w:rFonts w:cs="Arial"/>
                <w:lang w:val="es-ES_tradnl"/>
              </w:rPr>
            </w:pPr>
          </w:p>
        </w:tc>
      </w:tr>
    </w:tbl>
    <w:p w14:paraId="3D1749D0" w14:textId="74B07158" w:rsidR="004816C8" w:rsidRPr="0016058D" w:rsidRDefault="004816C8" w:rsidP="000648DF">
      <w:pPr>
        <w:jc w:val="both"/>
        <w:rPr>
          <w:b/>
          <w:bCs/>
          <w:lang w:val="es-ES_tradnl"/>
        </w:rPr>
      </w:pPr>
    </w:p>
    <w:p w14:paraId="07C391B3" w14:textId="6B895A72" w:rsidR="004816C8" w:rsidRPr="0016058D" w:rsidRDefault="004816C8" w:rsidP="00FC0DCD">
      <w:pPr>
        <w:pageBreakBefore/>
        <w:jc w:val="both"/>
        <w:rPr>
          <w:i/>
          <w:iCs/>
          <w:lang w:val="es-ES_tradnl"/>
        </w:rPr>
      </w:pPr>
      <w:r w:rsidRPr="0016058D">
        <w:rPr>
          <w:i/>
          <w:lang w:val="es-ES_tradnl"/>
        </w:rPr>
        <w:lastRenderedPageBreak/>
        <w:t>Cuadro 7 – Tarifa interna para una encomienda de 2 kilogramos en el servicio interno, en vigor el 1º de mayo de 2026</w:t>
      </w:r>
    </w:p>
    <w:p w14:paraId="74B93F6A"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59C3B53B" w14:textId="77777777" w:rsidTr="00FC2182">
        <w:tc>
          <w:tcPr>
            <w:tcW w:w="2500" w:type="pct"/>
          </w:tcPr>
          <w:p w14:paraId="01C2B8FA" w14:textId="49FB6EED" w:rsidR="004816C8" w:rsidRPr="0016058D" w:rsidRDefault="004816C8" w:rsidP="00344935">
            <w:pPr>
              <w:spacing w:before="60" w:after="60"/>
              <w:rPr>
                <w:rFonts w:cs="Arial"/>
                <w:lang w:val="es-ES_tradnl"/>
              </w:rPr>
            </w:pPr>
            <w:r w:rsidRPr="0016058D">
              <w:rPr>
                <w:lang w:val="es-ES_tradnl"/>
              </w:rPr>
              <w:t>Tasa si no se aplica la tarifación por zona (en moneda local)</w:t>
            </w:r>
          </w:p>
        </w:tc>
        <w:tc>
          <w:tcPr>
            <w:tcW w:w="2500" w:type="pct"/>
          </w:tcPr>
          <w:p w14:paraId="263EFEDA" w14:textId="77777777" w:rsidR="004816C8" w:rsidRPr="0016058D" w:rsidRDefault="004816C8" w:rsidP="00344935">
            <w:pPr>
              <w:spacing w:before="60" w:after="60"/>
              <w:rPr>
                <w:rFonts w:cs="Arial"/>
                <w:lang w:val="es-ES_tradnl"/>
              </w:rPr>
            </w:pPr>
          </w:p>
        </w:tc>
      </w:tr>
      <w:tr w:rsidR="004816C8" w:rsidRPr="0016058D" w14:paraId="50BC0C34" w14:textId="77777777" w:rsidTr="00FC2182">
        <w:tc>
          <w:tcPr>
            <w:tcW w:w="2500" w:type="pct"/>
          </w:tcPr>
          <w:p w14:paraId="440C8694" w14:textId="413B578B" w:rsidR="004816C8" w:rsidRPr="0016058D" w:rsidRDefault="004816C8" w:rsidP="00344935">
            <w:pPr>
              <w:spacing w:before="60" w:after="60"/>
              <w:rPr>
                <w:rFonts w:cs="Arial"/>
                <w:lang w:val="es-ES_tradnl"/>
              </w:rPr>
            </w:pPr>
            <w:r w:rsidRPr="0016058D">
              <w:rPr>
                <w:lang w:val="es-ES_tradnl"/>
              </w:rPr>
              <w:t>Tasa si se aplica la tarifación por zona (en moneda local)</w:t>
            </w:r>
          </w:p>
        </w:tc>
        <w:tc>
          <w:tcPr>
            <w:tcW w:w="2500" w:type="pct"/>
          </w:tcPr>
          <w:p w14:paraId="2F93B60E" w14:textId="77777777" w:rsidR="004816C8" w:rsidRPr="0016058D" w:rsidRDefault="004816C8" w:rsidP="00344935">
            <w:pPr>
              <w:spacing w:before="60" w:after="60"/>
              <w:rPr>
                <w:rFonts w:cs="Arial"/>
                <w:lang w:val="es-ES_tradnl"/>
              </w:rPr>
            </w:pPr>
          </w:p>
        </w:tc>
      </w:tr>
      <w:tr w:rsidR="004816C8" w:rsidRPr="0016058D" w14:paraId="5F387AF0" w14:textId="77777777" w:rsidTr="00FC2182">
        <w:tc>
          <w:tcPr>
            <w:tcW w:w="2500" w:type="pct"/>
            <w:tcBorders>
              <w:top w:val="single" w:sz="4" w:space="0" w:color="auto"/>
              <w:left w:val="single" w:sz="4" w:space="0" w:color="auto"/>
              <w:bottom w:val="single" w:sz="4" w:space="0" w:color="auto"/>
              <w:right w:val="single" w:sz="4" w:space="0" w:color="auto"/>
            </w:tcBorders>
          </w:tcPr>
          <w:p w14:paraId="592D0DEA" w14:textId="0DBCA860" w:rsidR="004816C8" w:rsidRPr="0016058D" w:rsidRDefault="004816C8" w:rsidP="00344935">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307BC0D8" w14:textId="4DD33DC0"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6"/>
            </w:r>
          </w:p>
          <w:p w14:paraId="16A1FB75" w14:textId="25C0FE4E"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753B25B0" w14:textId="77777777" w:rsidTr="00FC2182">
        <w:tc>
          <w:tcPr>
            <w:tcW w:w="2500" w:type="pct"/>
            <w:tcBorders>
              <w:top w:val="single" w:sz="4" w:space="0" w:color="auto"/>
              <w:left w:val="single" w:sz="4" w:space="0" w:color="auto"/>
              <w:bottom w:val="single" w:sz="4" w:space="0" w:color="auto"/>
              <w:right w:val="single" w:sz="4" w:space="0" w:color="auto"/>
            </w:tcBorders>
          </w:tcPr>
          <w:p w14:paraId="14D13550" w14:textId="77777777" w:rsidR="004816C8" w:rsidRPr="0016058D" w:rsidRDefault="004816C8" w:rsidP="00344935">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38F6F5A9" w14:textId="77777777" w:rsidR="004816C8" w:rsidRPr="0016058D" w:rsidRDefault="004816C8" w:rsidP="00344935">
            <w:pPr>
              <w:spacing w:before="60" w:after="60"/>
              <w:rPr>
                <w:rFonts w:cs="Arial"/>
                <w:lang w:val="es-ES_tradnl"/>
              </w:rPr>
            </w:pPr>
          </w:p>
        </w:tc>
      </w:tr>
      <w:tr w:rsidR="004816C8" w:rsidRPr="0016058D" w14:paraId="4FEC4BBB" w14:textId="77777777" w:rsidTr="00FC2182">
        <w:tc>
          <w:tcPr>
            <w:tcW w:w="2500" w:type="pct"/>
            <w:tcBorders>
              <w:top w:val="single" w:sz="4" w:space="0" w:color="auto"/>
              <w:left w:val="single" w:sz="4" w:space="0" w:color="auto"/>
              <w:bottom w:val="single" w:sz="4" w:space="0" w:color="auto"/>
              <w:right w:val="single" w:sz="4" w:space="0" w:color="auto"/>
            </w:tcBorders>
          </w:tcPr>
          <w:p w14:paraId="7921D435" w14:textId="77777777" w:rsidR="004816C8" w:rsidRPr="0016058D" w:rsidRDefault="004816C8" w:rsidP="00344935">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21D6FE73" w14:textId="77777777" w:rsidR="004816C8" w:rsidRPr="0016058D" w:rsidRDefault="004816C8" w:rsidP="00344935">
            <w:pPr>
              <w:keepNext/>
              <w:keepLines/>
              <w:spacing w:before="60" w:after="60"/>
              <w:rPr>
                <w:rFonts w:cs="Arial"/>
                <w:lang w:val="es-ES_tradnl"/>
              </w:rPr>
            </w:pPr>
          </w:p>
        </w:tc>
      </w:tr>
      <w:tr w:rsidR="004816C8" w:rsidRPr="0016058D" w14:paraId="0EB55277" w14:textId="77777777" w:rsidTr="00FC2182">
        <w:tc>
          <w:tcPr>
            <w:tcW w:w="2500" w:type="pct"/>
            <w:tcBorders>
              <w:top w:val="single" w:sz="4" w:space="0" w:color="auto"/>
              <w:left w:val="single" w:sz="4" w:space="0" w:color="auto"/>
              <w:right w:val="single" w:sz="4" w:space="0" w:color="auto"/>
            </w:tcBorders>
          </w:tcPr>
          <w:p w14:paraId="3722297D" w14:textId="4DDB47DF" w:rsidR="004816C8" w:rsidRPr="0016058D" w:rsidRDefault="004816C8" w:rsidP="00344935">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349E711C" w14:textId="330B9DD3"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3D660AB3" w14:textId="50BB0DC2"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4816C8" w:rsidRPr="0016058D" w14:paraId="4C9E3FAB" w14:textId="77777777" w:rsidTr="00FC2182">
        <w:tc>
          <w:tcPr>
            <w:tcW w:w="2500" w:type="pct"/>
            <w:tcBorders>
              <w:top w:val="single" w:sz="4" w:space="0" w:color="auto"/>
              <w:left w:val="single" w:sz="4" w:space="0" w:color="auto"/>
              <w:bottom w:val="single" w:sz="4" w:space="0" w:color="auto"/>
              <w:right w:val="single" w:sz="4" w:space="0" w:color="auto"/>
            </w:tcBorders>
          </w:tcPr>
          <w:p w14:paraId="5D29661C" w14:textId="77777777" w:rsidR="004816C8" w:rsidRPr="0016058D" w:rsidRDefault="004816C8" w:rsidP="00344935">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183F39EF" w14:textId="77777777" w:rsidR="004816C8" w:rsidRPr="0016058D" w:rsidRDefault="004816C8" w:rsidP="00344935">
            <w:pPr>
              <w:spacing w:before="60" w:after="60"/>
              <w:rPr>
                <w:rFonts w:cs="Arial"/>
                <w:lang w:val="es-ES_tradnl"/>
              </w:rPr>
            </w:pPr>
          </w:p>
        </w:tc>
      </w:tr>
    </w:tbl>
    <w:p w14:paraId="2FF93DC6" w14:textId="2D318C0A" w:rsidR="004816C8" w:rsidRPr="0016058D" w:rsidRDefault="004816C8" w:rsidP="000648DF">
      <w:pPr>
        <w:jc w:val="both"/>
        <w:rPr>
          <w:b/>
          <w:bCs/>
          <w:lang w:val="es-ES_tradnl"/>
        </w:rPr>
      </w:pPr>
    </w:p>
    <w:p w14:paraId="121C53AC" w14:textId="25E699E3" w:rsidR="004816C8" w:rsidRPr="0016058D" w:rsidRDefault="004816C8" w:rsidP="001F7600">
      <w:pPr>
        <w:jc w:val="both"/>
        <w:rPr>
          <w:i/>
          <w:iCs/>
          <w:lang w:val="es-ES_tradnl"/>
        </w:rPr>
      </w:pPr>
      <w:r w:rsidRPr="0016058D">
        <w:rPr>
          <w:i/>
          <w:lang w:val="es-ES_tradnl"/>
        </w:rPr>
        <w:t>Cuadro 8 – Tarifa interna para una encomienda de 5 kilogramos en el servicio interno, en vigor el 1º de mayo de 2026</w:t>
      </w:r>
    </w:p>
    <w:p w14:paraId="63C2981E"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044F987B" w14:textId="77777777" w:rsidTr="00FC2182">
        <w:tc>
          <w:tcPr>
            <w:tcW w:w="2500" w:type="pct"/>
          </w:tcPr>
          <w:p w14:paraId="3B529E4D" w14:textId="706124AE" w:rsidR="004816C8" w:rsidRPr="0016058D" w:rsidRDefault="004816C8" w:rsidP="00344935">
            <w:pPr>
              <w:spacing w:before="60" w:after="60"/>
              <w:rPr>
                <w:rFonts w:cs="Arial"/>
                <w:lang w:val="es-ES_tradnl"/>
              </w:rPr>
            </w:pPr>
            <w:r w:rsidRPr="0016058D">
              <w:rPr>
                <w:lang w:val="es-ES_tradnl"/>
              </w:rPr>
              <w:t>Tasa si no se aplica la tarifación por zona (en moneda local)</w:t>
            </w:r>
          </w:p>
        </w:tc>
        <w:tc>
          <w:tcPr>
            <w:tcW w:w="2500" w:type="pct"/>
          </w:tcPr>
          <w:p w14:paraId="6B8FBCEC" w14:textId="77777777" w:rsidR="004816C8" w:rsidRPr="0016058D" w:rsidRDefault="004816C8" w:rsidP="00344935">
            <w:pPr>
              <w:spacing w:before="60" w:after="60"/>
              <w:rPr>
                <w:rFonts w:cs="Arial"/>
                <w:lang w:val="es-ES_tradnl"/>
              </w:rPr>
            </w:pPr>
          </w:p>
        </w:tc>
      </w:tr>
      <w:tr w:rsidR="004816C8" w:rsidRPr="0016058D" w14:paraId="5566E1F9" w14:textId="77777777" w:rsidTr="00FC2182">
        <w:tc>
          <w:tcPr>
            <w:tcW w:w="2500" w:type="pct"/>
          </w:tcPr>
          <w:p w14:paraId="7C996C24" w14:textId="1D4E1631" w:rsidR="004816C8" w:rsidRPr="0016058D" w:rsidRDefault="004816C8" w:rsidP="00344935">
            <w:pPr>
              <w:spacing w:before="60" w:after="60"/>
              <w:rPr>
                <w:rFonts w:cs="Arial"/>
                <w:lang w:val="es-ES_tradnl"/>
              </w:rPr>
            </w:pPr>
            <w:r w:rsidRPr="0016058D">
              <w:rPr>
                <w:lang w:val="es-ES_tradnl"/>
              </w:rPr>
              <w:t>Tasa si se aplica la tarifación por zona (en moneda local)</w:t>
            </w:r>
          </w:p>
        </w:tc>
        <w:tc>
          <w:tcPr>
            <w:tcW w:w="2500" w:type="pct"/>
          </w:tcPr>
          <w:p w14:paraId="24D68988" w14:textId="77777777" w:rsidR="004816C8" w:rsidRPr="0016058D" w:rsidRDefault="004816C8" w:rsidP="00344935">
            <w:pPr>
              <w:spacing w:before="60" w:after="60"/>
              <w:rPr>
                <w:rFonts w:cs="Arial"/>
                <w:lang w:val="es-ES_tradnl"/>
              </w:rPr>
            </w:pPr>
          </w:p>
        </w:tc>
      </w:tr>
      <w:tr w:rsidR="004816C8" w:rsidRPr="0016058D" w14:paraId="6410FA0E" w14:textId="77777777" w:rsidTr="00FC2182">
        <w:tc>
          <w:tcPr>
            <w:tcW w:w="2500" w:type="pct"/>
            <w:tcBorders>
              <w:top w:val="single" w:sz="4" w:space="0" w:color="auto"/>
              <w:left w:val="single" w:sz="4" w:space="0" w:color="auto"/>
              <w:bottom w:val="single" w:sz="4" w:space="0" w:color="auto"/>
              <w:right w:val="single" w:sz="4" w:space="0" w:color="auto"/>
            </w:tcBorders>
          </w:tcPr>
          <w:p w14:paraId="66F7F6CE" w14:textId="64DB57A8" w:rsidR="004816C8" w:rsidRPr="0016058D" w:rsidRDefault="004816C8" w:rsidP="00344935">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51C42583" w14:textId="39725283"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7"/>
            </w:r>
          </w:p>
          <w:p w14:paraId="6CDFE2E9" w14:textId="5E294CEA"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548028AE" w14:textId="77777777" w:rsidTr="00FC2182">
        <w:tc>
          <w:tcPr>
            <w:tcW w:w="2500" w:type="pct"/>
            <w:tcBorders>
              <w:top w:val="single" w:sz="4" w:space="0" w:color="auto"/>
              <w:left w:val="single" w:sz="4" w:space="0" w:color="auto"/>
              <w:bottom w:val="single" w:sz="4" w:space="0" w:color="auto"/>
              <w:right w:val="single" w:sz="4" w:space="0" w:color="auto"/>
            </w:tcBorders>
          </w:tcPr>
          <w:p w14:paraId="7A55DD33" w14:textId="77777777" w:rsidR="004816C8" w:rsidRPr="0016058D" w:rsidRDefault="004816C8" w:rsidP="00344935">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4B13DFDE" w14:textId="77777777" w:rsidR="004816C8" w:rsidRPr="0016058D" w:rsidRDefault="004816C8" w:rsidP="00344935">
            <w:pPr>
              <w:spacing w:before="60" w:after="60"/>
              <w:rPr>
                <w:rFonts w:cs="Arial"/>
                <w:lang w:val="es-ES_tradnl"/>
              </w:rPr>
            </w:pPr>
          </w:p>
        </w:tc>
      </w:tr>
      <w:tr w:rsidR="004816C8" w:rsidRPr="0016058D" w14:paraId="497C9E82" w14:textId="77777777" w:rsidTr="00FC2182">
        <w:tc>
          <w:tcPr>
            <w:tcW w:w="2500" w:type="pct"/>
            <w:tcBorders>
              <w:top w:val="single" w:sz="4" w:space="0" w:color="auto"/>
              <w:left w:val="single" w:sz="4" w:space="0" w:color="auto"/>
              <w:bottom w:val="single" w:sz="4" w:space="0" w:color="auto"/>
              <w:right w:val="single" w:sz="4" w:space="0" w:color="auto"/>
            </w:tcBorders>
          </w:tcPr>
          <w:p w14:paraId="53A57DAA" w14:textId="77777777" w:rsidR="004816C8" w:rsidRPr="0016058D" w:rsidRDefault="004816C8" w:rsidP="00344935">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0ED2D686" w14:textId="77777777" w:rsidR="004816C8" w:rsidRPr="0016058D" w:rsidRDefault="004816C8" w:rsidP="00344935">
            <w:pPr>
              <w:keepNext/>
              <w:keepLines/>
              <w:spacing w:before="60" w:after="60"/>
              <w:rPr>
                <w:rFonts w:cs="Arial"/>
                <w:lang w:val="es-ES_tradnl"/>
              </w:rPr>
            </w:pPr>
          </w:p>
        </w:tc>
      </w:tr>
      <w:tr w:rsidR="004816C8" w:rsidRPr="0016058D" w14:paraId="3C295847" w14:textId="77777777" w:rsidTr="00FC2182">
        <w:tc>
          <w:tcPr>
            <w:tcW w:w="2500" w:type="pct"/>
            <w:tcBorders>
              <w:top w:val="single" w:sz="4" w:space="0" w:color="auto"/>
              <w:left w:val="single" w:sz="4" w:space="0" w:color="auto"/>
              <w:right w:val="single" w:sz="4" w:space="0" w:color="auto"/>
            </w:tcBorders>
          </w:tcPr>
          <w:p w14:paraId="4CD9B42C" w14:textId="5E9E6ABE" w:rsidR="004816C8" w:rsidRPr="0016058D" w:rsidRDefault="004816C8" w:rsidP="00344935">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56E1D8BF" w14:textId="0F6EBC55"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3144EC48" w14:textId="263BC918" w:rsidR="004816C8" w:rsidRPr="0016058D" w:rsidRDefault="004816C8" w:rsidP="00344935">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4816C8" w:rsidRPr="0016058D" w14:paraId="15740EB3" w14:textId="77777777" w:rsidTr="00FC2182">
        <w:tc>
          <w:tcPr>
            <w:tcW w:w="2500" w:type="pct"/>
            <w:tcBorders>
              <w:top w:val="single" w:sz="4" w:space="0" w:color="auto"/>
              <w:left w:val="single" w:sz="4" w:space="0" w:color="auto"/>
              <w:bottom w:val="single" w:sz="4" w:space="0" w:color="auto"/>
              <w:right w:val="single" w:sz="4" w:space="0" w:color="auto"/>
            </w:tcBorders>
          </w:tcPr>
          <w:p w14:paraId="192C78A2" w14:textId="77777777" w:rsidR="004816C8" w:rsidRPr="0016058D" w:rsidRDefault="004816C8" w:rsidP="00344935">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5A1C9459" w14:textId="77777777" w:rsidR="004816C8" w:rsidRPr="0016058D" w:rsidRDefault="004816C8" w:rsidP="00344935">
            <w:pPr>
              <w:spacing w:before="60" w:after="60"/>
              <w:rPr>
                <w:rFonts w:cs="Arial"/>
                <w:lang w:val="es-ES_tradnl"/>
              </w:rPr>
            </w:pPr>
          </w:p>
        </w:tc>
      </w:tr>
    </w:tbl>
    <w:p w14:paraId="60D6237D" w14:textId="4F562CB7" w:rsidR="004816C8" w:rsidRPr="0016058D" w:rsidRDefault="004816C8" w:rsidP="000648DF">
      <w:pPr>
        <w:jc w:val="both"/>
        <w:rPr>
          <w:b/>
          <w:bCs/>
          <w:lang w:val="es-ES_tradnl"/>
        </w:rPr>
      </w:pPr>
    </w:p>
    <w:p w14:paraId="31262B3F" w14:textId="704E25AD" w:rsidR="004816C8" w:rsidRPr="0016058D" w:rsidRDefault="004816C8" w:rsidP="001F7600">
      <w:pPr>
        <w:jc w:val="both"/>
        <w:rPr>
          <w:i/>
          <w:iCs/>
          <w:lang w:val="es-ES_tradnl"/>
        </w:rPr>
      </w:pPr>
      <w:r w:rsidRPr="0016058D">
        <w:rPr>
          <w:i/>
          <w:lang w:val="es-ES_tradnl"/>
        </w:rPr>
        <w:lastRenderedPageBreak/>
        <w:t>Cuadro 9 – Tarifa interna para una encomienda de 10 kilogramos en el servicio interno, en vigor el 1º de mayo de 2026</w:t>
      </w:r>
    </w:p>
    <w:p w14:paraId="2055D69F"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29BE3887" w14:textId="77777777" w:rsidTr="00FC2182">
        <w:tc>
          <w:tcPr>
            <w:tcW w:w="2500" w:type="pct"/>
          </w:tcPr>
          <w:p w14:paraId="18175739" w14:textId="59C90BEA" w:rsidR="004816C8" w:rsidRPr="0016058D" w:rsidRDefault="004816C8" w:rsidP="00152A6B">
            <w:pPr>
              <w:spacing w:before="60" w:after="60"/>
              <w:rPr>
                <w:rFonts w:cs="Arial"/>
                <w:lang w:val="es-ES_tradnl"/>
              </w:rPr>
            </w:pPr>
            <w:r w:rsidRPr="0016058D">
              <w:rPr>
                <w:lang w:val="es-ES_tradnl"/>
              </w:rPr>
              <w:t>Tasa si no se aplica la tarifación por zona (en moneda local)</w:t>
            </w:r>
          </w:p>
        </w:tc>
        <w:tc>
          <w:tcPr>
            <w:tcW w:w="2500" w:type="pct"/>
          </w:tcPr>
          <w:p w14:paraId="5279E7CB" w14:textId="77777777" w:rsidR="004816C8" w:rsidRPr="0016058D" w:rsidRDefault="004816C8" w:rsidP="00152A6B">
            <w:pPr>
              <w:spacing w:before="60" w:after="60"/>
              <w:rPr>
                <w:rFonts w:cs="Arial"/>
                <w:lang w:val="es-ES_tradnl"/>
              </w:rPr>
            </w:pPr>
          </w:p>
        </w:tc>
      </w:tr>
      <w:tr w:rsidR="004816C8" w:rsidRPr="0016058D" w14:paraId="2E149407" w14:textId="77777777" w:rsidTr="00FC2182">
        <w:tc>
          <w:tcPr>
            <w:tcW w:w="2500" w:type="pct"/>
          </w:tcPr>
          <w:p w14:paraId="018B6E76" w14:textId="15EC1FA2" w:rsidR="004816C8" w:rsidRPr="0016058D" w:rsidRDefault="004816C8" w:rsidP="00152A6B">
            <w:pPr>
              <w:spacing w:before="60" w:after="60"/>
              <w:rPr>
                <w:rFonts w:cs="Arial"/>
                <w:lang w:val="es-ES_tradnl"/>
              </w:rPr>
            </w:pPr>
            <w:r w:rsidRPr="0016058D">
              <w:rPr>
                <w:lang w:val="es-ES_tradnl"/>
              </w:rPr>
              <w:t>Tasa si se aplica la tarifación por zona (en moneda local)</w:t>
            </w:r>
          </w:p>
        </w:tc>
        <w:tc>
          <w:tcPr>
            <w:tcW w:w="2500" w:type="pct"/>
          </w:tcPr>
          <w:p w14:paraId="5D19490E" w14:textId="77777777" w:rsidR="004816C8" w:rsidRPr="0016058D" w:rsidRDefault="004816C8" w:rsidP="00152A6B">
            <w:pPr>
              <w:spacing w:before="60" w:after="60"/>
              <w:rPr>
                <w:rFonts w:cs="Arial"/>
                <w:lang w:val="es-ES_tradnl"/>
              </w:rPr>
            </w:pPr>
          </w:p>
        </w:tc>
      </w:tr>
      <w:tr w:rsidR="004816C8" w:rsidRPr="0016058D" w14:paraId="55A1FC95" w14:textId="77777777" w:rsidTr="00FC2182">
        <w:tc>
          <w:tcPr>
            <w:tcW w:w="2500" w:type="pct"/>
            <w:tcBorders>
              <w:top w:val="single" w:sz="4" w:space="0" w:color="auto"/>
              <w:left w:val="single" w:sz="4" w:space="0" w:color="auto"/>
              <w:bottom w:val="single" w:sz="4" w:space="0" w:color="auto"/>
              <w:right w:val="single" w:sz="4" w:space="0" w:color="auto"/>
            </w:tcBorders>
          </w:tcPr>
          <w:p w14:paraId="667F8BBC" w14:textId="2623B060" w:rsidR="004816C8" w:rsidRPr="0016058D" w:rsidRDefault="004816C8" w:rsidP="00152A6B">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4620982B" w14:textId="739B8B1E"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8"/>
            </w:r>
          </w:p>
          <w:p w14:paraId="6B7A8089" w14:textId="2A7F96F2"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4FC3B688" w14:textId="77777777" w:rsidTr="00FC2182">
        <w:tc>
          <w:tcPr>
            <w:tcW w:w="2500" w:type="pct"/>
            <w:tcBorders>
              <w:top w:val="single" w:sz="4" w:space="0" w:color="auto"/>
              <w:left w:val="single" w:sz="4" w:space="0" w:color="auto"/>
              <w:bottom w:val="single" w:sz="4" w:space="0" w:color="auto"/>
              <w:right w:val="single" w:sz="4" w:space="0" w:color="auto"/>
            </w:tcBorders>
          </w:tcPr>
          <w:p w14:paraId="4263C0DD" w14:textId="77777777" w:rsidR="004816C8" w:rsidRPr="0016058D" w:rsidRDefault="004816C8" w:rsidP="00152A6B">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07EAA4DF" w14:textId="77777777" w:rsidR="004816C8" w:rsidRPr="0016058D" w:rsidRDefault="004816C8" w:rsidP="00152A6B">
            <w:pPr>
              <w:spacing w:before="60" w:after="60"/>
              <w:rPr>
                <w:rFonts w:cs="Arial"/>
                <w:lang w:val="es-ES_tradnl"/>
              </w:rPr>
            </w:pPr>
          </w:p>
        </w:tc>
      </w:tr>
      <w:tr w:rsidR="004816C8" w:rsidRPr="0016058D" w14:paraId="73914AFD" w14:textId="77777777" w:rsidTr="00FC2182">
        <w:tc>
          <w:tcPr>
            <w:tcW w:w="2500" w:type="pct"/>
            <w:tcBorders>
              <w:top w:val="single" w:sz="4" w:space="0" w:color="auto"/>
              <w:left w:val="single" w:sz="4" w:space="0" w:color="auto"/>
              <w:bottom w:val="single" w:sz="4" w:space="0" w:color="auto"/>
              <w:right w:val="single" w:sz="4" w:space="0" w:color="auto"/>
            </w:tcBorders>
          </w:tcPr>
          <w:p w14:paraId="223E701A" w14:textId="77777777" w:rsidR="004816C8" w:rsidRPr="0016058D" w:rsidRDefault="004816C8" w:rsidP="00152A6B">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505F501D" w14:textId="77777777" w:rsidR="004816C8" w:rsidRPr="0016058D" w:rsidRDefault="004816C8" w:rsidP="00152A6B">
            <w:pPr>
              <w:keepNext/>
              <w:keepLines/>
              <w:spacing w:before="60" w:after="60"/>
              <w:rPr>
                <w:rFonts w:cs="Arial"/>
                <w:lang w:val="es-ES_tradnl"/>
              </w:rPr>
            </w:pPr>
          </w:p>
        </w:tc>
      </w:tr>
      <w:tr w:rsidR="004816C8" w:rsidRPr="0016058D" w14:paraId="50274866" w14:textId="77777777" w:rsidTr="00FC2182">
        <w:tc>
          <w:tcPr>
            <w:tcW w:w="2500" w:type="pct"/>
            <w:tcBorders>
              <w:top w:val="single" w:sz="4" w:space="0" w:color="auto"/>
              <w:left w:val="single" w:sz="4" w:space="0" w:color="auto"/>
              <w:right w:val="single" w:sz="4" w:space="0" w:color="auto"/>
            </w:tcBorders>
          </w:tcPr>
          <w:p w14:paraId="27F6BFAD" w14:textId="182A8772" w:rsidR="004816C8" w:rsidRPr="0016058D" w:rsidRDefault="004816C8" w:rsidP="00152A6B">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40241BC0" w14:textId="689ECB6B"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44496EAA" w14:textId="17002F4A"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r w:rsidRPr="0016058D">
              <w:rPr>
                <w:lang w:val="es-ES_tradnl"/>
              </w:rPr>
              <w:tab/>
            </w:r>
          </w:p>
        </w:tc>
      </w:tr>
      <w:tr w:rsidR="004816C8" w:rsidRPr="0016058D" w14:paraId="38C73058" w14:textId="77777777" w:rsidTr="00FC2182">
        <w:tc>
          <w:tcPr>
            <w:tcW w:w="2500" w:type="pct"/>
            <w:tcBorders>
              <w:top w:val="single" w:sz="4" w:space="0" w:color="auto"/>
              <w:left w:val="single" w:sz="4" w:space="0" w:color="auto"/>
              <w:bottom w:val="single" w:sz="4" w:space="0" w:color="auto"/>
              <w:right w:val="single" w:sz="4" w:space="0" w:color="auto"/>
            </w:tcBorders>
          </w:tcPr>
          <w:p w14:paraId="0E114654" w14:textId="77777777" w:rsidR="004816C8" w:rsidRPr="0016058D" w:rsidRDefault="004816C8" w:rsidP="00152A6B">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47C3ACC1" w14:textId="77777777" w:rsidR="004816C8" w:rsidRPr="0016058D" w:rsidRDefault="004816C8" w:rsidP="00152A6B">
            <w:pPr>
              <w:spacing w:before="60" w:after="60"/>
              <w:rPr>
                <w:rFonts w:cs="Arial"/>
                <w:lang w:val="es-ES_tradnl"/>
              </w:rPr>
            </w:pPr>
          </w:p>
        </w:tc>
      </w:tr>
    </w:tbl>
    <w:p w14:paraId="45950CDE" w14:textId="00470D0D" w:rsidR="00FC2182" w:rsidRPr="0016058D" w:rsidRDefault="00FC2182">
      <w:pPr>
        <w:spacing w:line="240" w:lineRule="auto"/>
        <w:rPr>
          <w:i/>
          <w:iCs/>
          <w:lang w:val="es-ES_tradnl"/>
        </w:rPr>
      </w:pPr>
    </w:p>
    <w:p w14:paraId="41DFC0D6" w14:textId="17E84B14" w:rsidR="004816C8" w:rsidRPr="0016058D" w:rsidRDefault="004816C8" w:rsidP="001F7600">
      <w:pPr>
        <w:jc w:val="both"/>
        <w:rPr>
          <w:i/>
          <w:iCs/>
          <w:lang w:val="es-ES_tradnl"/>
        </w:rPr>
      </w:pPr>
      <w:r w:rsidRPr="0016058D">
        <w:rPr>
          <w:i/>
          <w:lang w:val="es-ES_tradnl"/>
        </w:rPr>
        <w:t>Cuadro 10 – Tarifa interna para una encomienda de 20 kilogramos en el servicio interno, en vigor el 1º de mayo de 2026</w:t>
      </w:r>
    </w:p>
    <w:p w14:paraId="3FF5B625" w14:textId="77777777" w:rsidR="004816C8" w:rsidRPr="0016058D" w:rsidRDefault="004816C8" w:rsidP="000648DF">
      <w:pPr>
        <w:pStyle w:val="0Textedebase"/>
        <w:rPr>
          <w:i/>
          <w:iCs/>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4816C8" w:rsidRPr="0016058D" w14:paraId="3CDD2A1A" w14:textId="77777777" w:rsidTr="00FC2182">
        <w:tc>
          <w:tcPr>
            <w:tcW w:w="2500" w:type="pct"/>
          </w:tcPr>
          <w:p w14:paraId="50599291" w14:textId="10DAEEA5" w:rsidR="004816C8" w:rsidRPr="0016058D" w:rsidRDefault="004816C8" w:rsidP="00152A6B">
            <w:pPr>
              <w:spacing w:before="60" w:after="60"/>
              <w:rPr>
                <w:rFonts w:cs="Arial"/>
                <w:lang w:val="es-ES_tradnl"/>
              </w:rPr>
            </w:pPr>
            <w:r w:rsidRPr="0016058D">
              <w:rPr>
                <w:lang w:val="es-ES_tradnl"/>
              </w:rPr>
              <w:t>Tasa si no se aplica la tarifación por zona (en moneda local)</w:t>
            </w:r>
          </w:p>
        </w:tc>
        <w:tc>
          <w:tcPr>
            <w:tcW w:w="2500" w:type="pct"/>
          </w:tcPr>
          <w:p w14:paraId="17589873" w14:textId="77777777" w:rsidR="004816C8" w:rsidRPr="0016058D" w:rsidRDefault="004816C8" w:rsidP="00152A6B">
            <w:pPr>
              <w:spacing w:before="60" w:after="60"/>
              <w:rPr>
                <w:rFonts w:cs="Arial"/>
                <w:lang w:val="es-ES_tradnl"/>
              </w:rPr>
            </w:pPr>
          </w:p>
        </w:tc>
      </w:tr>
      <w:tr w:rsidR="004816C8" w:rsidRPr="0016058D" w14:paraId="3110AF93" w14:textId="77777777" w:rsidTr="00FC2182">
        <w:tc>
          <w:tcPr>
            <w:tcW w:w="2500" w:type="pct"/>
          </w:tcPr>
          <w:p w14:paraId="0BA4F560" w14:textId="3D209586" w:rsidR="004816C8" w:rsidRPr="0016058D" w:rsidRDefault="004816C8" w:rsidP="00152A6B">
            <w:pPr>
              <w:spacing w:before="60" w:after="60"/>
              <w:rPr>
                <w:rFonts w:cs="Arial"/>
                <w:lang w:val="es-ES_tradnl"/>
              </w:rPr>
            </w:pPr>
            <w:r w:rsidRPr="0016058D">
              <w:rPr>
                <w:lang w:val="es-ES_tradnl"/>
              </w:rPr>
              <w:t>Tasa si se aplica la tarifación por zona (en moneda local)</w:t>
            </w:r>
          </w:p>
        </w:tc>
        <w:tc>
          <w:tcPr>
            <w:tcW w:w="2500" w:type="pct"/>
          </w:tcPr>
          <w:p w14:paraId="526613C1" w14:textId="77777777" w:rsidR="004816C8" w:rsidRPr="0016058D" w:rsidRDefault="004816C8" w:rsidP="00152A6B">
            <w:pPr>
              <w:spacing w:before="60" w:after="60"/>
              <w:rPr>
                <w:rFonts w:cs="Arial"/>
                <w:lang w:val="es-ES_tradnl"/>
              </w:rPr>
            </w:pPr>
          </w:p>
        </w:tc>
      </w:tr>
      <w:tr w:rsidR="004816C8" w:rsidRPr="0016058D" w14:paraId="45051FD1" w14:textId="77777777" w:rsidTr="00FC2182">
        <w:tc>
          <w:tcPr>
            <w:tcW w:w="2500" w:type="pct"/>
            <w:tcBorders>
              <w:top w:val="single" w:sz="4" w:space="0" w:color="auto"/>
              <w:left w:val="single" w:sz="4" w:space="0" w:color="auto"/>
              <w:bottom w:val="single" w:sz="4" w:space="0" w:color="auto"/>
              <w:right w:val="single" w:sz="4" w:space="0" w:color="auto"/>
            </w:tcBorders>
          </w:tcPr>
          <w:p w14:paraId="682C79C9" w14:textId="15A02B8F" w:rsidR="004816C8" w:rsidRPr="0016058D" w:rsidRDefault="004816C8" w:rsidP="00152A6B">
            <w:pPr>
              <w:spacing w:before="60" w:after="60"/>
              <w:rPr>
                <w:rFonts w:cs="Arial"/>
                <w:lang w:val="es-ES_tradnl"/>
              </w:rPr>
            </w:pPr>
            <w:r w:rsidRPr="0016058D">
              <w:rPr>
                <w:lang w:val="es-ES_tradnl"/>
              </w:rPr>
              <w:t>Si se aplica la tarifación por zona, indicar qué método se utiliza para determinar la tarifa por zona</w:t>
            </w:r>
          </w:p>
        </w:tc>
        <w:tc>
          <w:tcPr>
            <w:tcW w:w="2500" w:type="pct"/>
            <w:tcBorders>
              <w:top w:val="single" w:sz="4" w:space="0" w:color="auto"/>
              <w:left w:val="single" w:sz="4" w:space="0" w:color="auto"/>
              <w:bottom w:val="single" w:sz="4" w:space="0" w:color="auto"/>
              <w:right w:val="single" w:sz="4" w:space="0" w:color="auto"/>
            </w:tcBorders>
          </w:tcPr>
          <w:p w14:paraId="0D48F6A1" w14:textId="58B480D0"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 xml:space="preserve">La tarifa por zona indicada arriba corresponde a la distancia media </w:t>
            </w:r>
            <w:proofErr w:type="gramStart"/>
            <w:r w:rsidRPr="0016058D">
              <w:rPr>
                <w:lang w:val="es-ES_tradnl"/>
              </w:rPr>
              <w:t>real ponderada</w:t>
            </w:r>
            <w:proofErr w:type="gramEnd"/>
            <w:r w:rsidRPr="0016058D">
              <w:rPr>
                <w:lang w:val="es-ES_tradnl"/>
              </w:rPr>
              <w:t xml:space="preserve"> de las encomiendas de llegada del operador designado</w:t>
            </w:r>
            <w:r w:rsidRPr="0016058D">
              <w:rPr>
                <w:rStyle w:val="Refdenotaalpie"/>
                <w:rFonts w:cs="Arial"/>
                <w:lang w:val="es-ES_tradnl"/>
              </w:rPr>
              <w:footnoteReference w:id="9"/>
            </w:r>
          </w:p>
          <w:p w14:paraId="432A3376" w14:textId="228B3324"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lang w:val="es-ES_tradnl"/>
              </w:rPr>
              <w:tab/>
              <w:t>La tarifa por zona corresponde a la tarifa media del sistema de tarifas internas por zona</w:t>
            </w:r>
          </w:p>
        </w:tc>
      </w:tr>
      <w:tr w:rsidR="004816C8" w:rsidRPr="0016058D" w14:paraId="56D24DBB" w14:textId="77777777" w:rsidTr="00FC2182">
        <w:tc>
          <w:tcPr>
            <w:tcW w:w="2500" w:type="pct"/>
            <w:tcBorders>
              <w:top w:val="single" w:sz="4" w:space="0" w:color="auto"/>
              <w:left w:val="single" w:sz="4" w:space="0" w:color="auto"/>
              <w:bottom w:val="single" w:sz="4" w:space="0" w:color="auto"/>
              <w:right w:val="single" w:sz="4" w:space="0" w:color="auto"/>
            </w:tcBorders>
          </w:tcPr>
          <w:p w14:paraId="70A2689E" w14:textId="77777777" w:rsidR="004816C8" w:rsidRPr="0016058D" w:rsidRDefault="004816C8" w:rsidP="00152A6B">
            <w:pPr>
              <w:spacing w:before="60" w:after="60"/>
              <w:rPr>
                <w:rFonts w:cs="Arial"/>
                <w:lang w:val="es-ES_tradnl"/>
              </w:rPr>
            </w:pPr>
            <w:r w:rsidRPr="0016058D">
              <w:rPr>
                <w:lang w:val="es-ES_tradnl"/>
              </w:rPr>
              <w:t>Tasa del IVA u otros impuestos incluidos en el cargo</w:t>
            </w:r>
          </w:p>
        </w:tc>
        <w:tc>
          <w:tcPr>
            <w:tcW w:w="2500" w:type="pct"/>
            <w:tcBorders>
              <w:top w:val="single" w:sz="4" w:space="0" w:color="auto"/>
              <w:left w:val="single" w:sz="4" w:space="0" w:color="auto"/>
              <w:bottom w:val="single" w:sz="4" w:space="0" w:color="auto"/>
              <w:right w:val="single" w:sz="4" w:space="0" w:color="auto"/>
            </w:tcBorders>
          </w:tcPr>
          <w:p w14:paraId="2194717B" w14:textId="77777777" w:rsidR="004816C8" w:rsidRPr="0016058D" w:rsidRDefault="004816C8" w:rsidP="00152A6B">
            <w:pPr>
              <w:spacing w:before="60" w:after="60"/>
              <w:rPr>
                <w:rFonts w:cs="Arial"/>
                <w:lang w:val="es-ES_tradnl"/>
              </w:rPr>
            </w:pPr>
          </w:p>
        </w:tc>
      </w:tr>
      <w:tr w:rsidR="004816C8" w:rsidRPr="0016058D" w14:paraId="498B0221" w14:textId="77777777" w:rsidTr="00FC2182">
        <w:tc>
          <w:tcPr>
            <w:tcW w:w="2500" w:type="pct"/>
            <w:tcBorders>
              <w:top w:val="single" w:sz="4" w:space="0" w:color="auto"/>
              <w:left w:val="single" w:sz="4" w:space="0" w:color="auto"/>
              <w:bottom w:val="single" w:sz="4" w:space="0" w:color="auto"/>
              <w:right w:val="single" w:sz="4" w:space="0" w:color="auto"/>
            </w:tcBorders>
          </w:tcPr>
          <w:p w14:paraId="5CFCD4CD" w14:textId="77777777" w:rsidR="004816C8" w:rsidRPr="0016058D" w:rsidRDefault="004816C8" w:rsidP="00152A6B">
            <w:pPr>
              <w:spacing w:before="60" w:after="60"/>
              <w:rPr>
                <w:rFonts w:cs="Arial"/>
                <w:lang w:val="es-ES_tradnl"/>
              </w:rPr>
            </w:pPr>
            <w:r w:rsidRPr="0016058D">
              <w:rPr>
                <w:lang w:val="es-ES_tradnl"/>
              </w:rPr>
              <w:t>Formato/categoría en el servicio interno</w:t>
            </w:r>
          </w:p>
        </w:tc>
        <w:tc>
          <w:tcPr>
            <w:tcW w:w="2500" w:type="pct"/>
            <w:tcBorders>
              <w:top w:val="single" w:sz="4" w:space="0" w:color="auto"/>
              <w:left w:val="single" w:sz="4" w:space="0" w:color="auto"/>
              <w:bottom w:val="single" w:sz="4" w:space="0" w:color="auto"/>
              <w:right w:val="single" w:sz="4" w:space="0" w:color="auto"/>
            </w:tcBorders>
          </w:tcPr>
          <w:p w14:paraId="6A7C9C74" w14:textId="77777777" w:rsidR="004816C8" w:rsidRPr="0016058D" w:rsidRDefault="004816C8" w:rsidP="00152A6B">
            <w:pPr>
              <w:keepNext/>
              <w:keepLines/>
              <w:spacing w:before="60" w:after="60"/>
              <w:rPr>
                <w:rFonts w:cs="Arial"/>
                <w:lang w:val="es-ES_tradnl"/>
              </w:rPr>
            </w:pPr>
          </w:p>
        </w:tc>
      </w:tr>
      <w:tr w:rsidR="004816C8" w:rsidRPr="0016058D" w14:paraId="1C3D0B37" w14:textId="77777777" w:rsidTr="00FC2182">
        <w:tc>
          <w:tcPr>
            <w:tcW w:w="2500" w:type="pct"/>
            <w:tcBorders>
              <w:top w:val="single" w:sz="4" w:space="0" w:color="auto"/>
              <w:left w:val="single" w:sz="4" w:space="0" w:color="auto"/>
              <w:right w:val="single" w:sz="4" w:space="0" w:color="auto"/>
            </w:tcBorders>
          </w:tcPr>
          <w:p w14:paraId="74DD8CB8" w14:textId="3A01F33A" w:rsidR="004816C8" w:rsidRPr="0016058D" w:rsidRDefault="004816C8" w:rsidP="00152A6B">
            <w:pPr>
              <w:spacing w:before="60" w:after="60"/>
              <w:rPr>
                <w:rFonts w:cs="Arial"/>
                <w:lang w:val="es-ES_tradnl"/>
              </w:rPr>
            </w:pPr>
            <w:r w:rsidRPr="0016058D">
              <w:rPr>
                <w:lang w:val="es-ES_tradnl"/>
              </w:rPr>
              <w:t>Indicar si el elemento de servicio de prueba de la distribución está incluido en el servicio básico</w:t>
            </w:r>
          </w:p>
        </w:tc>
        <w:tc>
          <w:tcPr>
            <w:tcW w:w="2500" w:type="pct"/>
            <w:tcBorders>
              <w:top w:val="single" w:sz="4" w:space="0" w:color="auto"/>
              <w:left w:val="single" w:sz="4" w:space="0" w:color="auto"/>
              <w:bottom w:val="single" w:sz="4" w:space="0" w:color="auto"/>
              <w:right w:val="single" w:sz="4" w:space="0" w:color="auto"/>
            </w:tcBorders>
          </w:tcPr>
          <w:p w14:paraId="726C5BC9" w14:textId="5F18CFF2"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Sí</w:t>
            </w:r>
          </w:p>
          <w:p w14:paraId="420A326B" w14:textId="55EE697A" w:rsidR="004816C8" w:rsidRPr="0016058D" w:rsidRDefault="004816C8" w:rsidP="00152A6B">
            <w:pPr>
              <w:spacing w:before="60" w:after="60"/>
              <w:ind w:left="284" w:hanging="284"/>
              <w:rPr>
                <w:rFonts w:cs="Arial"/>
                <w:lang w:val="es-ES_tradnl"/>
              </w:rPr>
            </w:pPr>
            <w:r w:rsidRPr="0016058D">
              <w:rPr>
                <w:sz w:val="24"/>
                <w:lang w:val="es-ES_tradnl"/>
              </w:rPr>
              <w:sym w:font="Wingdings" w:char="F072"/>
            </w:r>
            <w:r w:rsidRPr="0016058D">
              <w:rPr>
                <w:sz w:val="24"/>
                <w:lang w:val="es-ES_tradnl"/>
              </w:rPr>
              <w:tab/>
            </w:r>
            <w:r w:rsidRPr="0016058D">
              <w:rPr>
                <w:lang w:val="es-ES_tradnl"/>
              </w:rPr>
              <w:t>No</w:t>
            </w:r>
          </w:p>
        </w:tc>
      </w:tr>
      <w:tr w:rsidR="004816C8" w:rsidRPr="0016058D" w14:paraId="5558672C" w14:textId="77777777" w:rsidTr="00FC2182">
        <w:tc>
          <w:tcPr>
            <w:tcW w:w="2500" w:type="pct"/>
            <w:tcBorders>
              <w:top w:val="single" w:sz="4" w:space="0" w:color="auto"/>
              <w:left w:val="single" w:sz="4" w:space="0" w:color="auto"/>
              <w:bottom w:val="single" w:sz="4" w:space="0" w:color="auto"/>
              <w:right w:val="single" w:sz="4" w:space="0" w:color="auto"/>
            </w:tcBorders>
          </w:tcPr>
          <w:p w14:paraId="6CE3F660" w14:textId="77777777" w:rsidR="004816C8" w:rsidRPr="0016058D" w:rsidRDefault="004816C8" w:rsidP="00152A6B">
            <w:pPr>
              <w:spacing w:before="60" w:after="60"/>
              <w:rPr>
                <w:rFonts w:cs="Arial"/>
                <w:lang w:val="es-ES_tradnl"/>
              </w:rPr>
            </w:pPr>
            <w:r w:rsidRPr="0016058D">
              <w:rPr>
                <w:lang w:val="es-ES_tradnl"/>
              </w:rPr>
              <w:t>Dirección del sitio web para consultar esta información</w:t>
            </w:r>
          </w:p>
        </w:tc>
        <w:tc>
          <w:tcPr>
            <w:tcW w:w="2500" w:type="pct"/>
            <w:tcBorders>
              <w:top w:val="single" w:sz="4" w:space="0" w:color="auto"/>
              <w:left w:val="single" w:sz="4" w:space="0" w:color="auto"/>
              <w:bottom w:val="single" w:sz="4" w:space="0" w:color="auto"/>
              <w:right w:val="single" w:sz="4" w:space="0" w:color="auto"/>
            </w:tcBorders>
          </w:tcPr>
          <w:p w14:paraId="006F9FF7" w14:textId="77777777" w:rsidR="004816C8" w:rsidRPr="0016058D" w:rsidRDefault="004816C8" w:rsidP="00152A6B">
            <w:pPr>
              <w:spacing w:before="60" w:after="60"/>
              <w:rPr>
                <w:rFonts w:cs="Arial"/>
                <w:lang w:val="es-ES_tradnl"/>
              </w:rPr>
            </w:pPr>
          </w:p>
        </w:tc>
      </w:tr>
    </w:tbl>
    <w:p w14:paraId="62A685B7" w14:textId="77777777" w:rsidR="004816C8" w:rsidRPr="0016058D" w:rsidRDefault="004816C8" w:rsidP="000648DF">
      <w:pPr>
        <w:jc w:val="both"/>
        <w:rPr>
          <w:b/>
          <w:bCs/>
          <w:lang w:val="es-ES_tradnl"/>
        </w:rPr>
      </w:pPr>
    </w:p>
    <w:sectPr w:rsidR="004816C8" w:rsidRPr="0016058D" w:rsidSect="000648DF">
      <w:headerReference w:type="even" r:id="rId14"/>
      <w:headerReference w:type="default" r:id="rId15"/>
      <w:headerReference w:type="first" r:id="rId16"/>
      <w:footerReference w:type="first" r:id="rId17"/>
      <w:endnotePr>
        <w:numFmt w:val="decimal"/>
      </w:endnotePr>
      <w:pgSz w:w="11907" w:h="16840" w:code="9"/>
      <w:pgMar w:top="1134" w:right="851" w:bottom="993"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A418" w14:textId="77777777" w:rsidR="00472ED0" w:rsidRDefault="00472ED0">
      <w:pPr>
        <w:spacing w:after="120"/>
        <w:rPr>
          <w:sz w:val="18"/>
        </w:rPr>
      </w:pPr>
      <w:r>
        <w:rPr>
          <w:sz w:val="18"/>
        </w:rPr>
        <w:t>____________</w:t>
      </w:r>
    </w:p>
  </w:endnote>
  <w:endnote w:type="continuationSeparator" w:id="0">
    <w:p w14:paraId="30D3602C" w14:textId="77777777" w:rsidR="00472ED0" w:rsidRDefault="00472ED0">
      <w:r>
        <w:continuationSeparator/>
      </w:r>
    </w:p>
  </w:endnote>
  <w:endnote w:type="continuationNotice" w:id="1">
    <w:p w14:paraId="56CAA97B" w14:textId="77777777" w:rsidR="00472ED0" w:rsidRDefault="00472E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0FCE" w14:textId="3BF7CCCD" w:rsidR="001E1F2C" w:rsidRPr="004F46B0" w:rsidRDefault="00840AFA" w:rsidP="007B6D99">
    <w:pPr>
      <w:rPr>
        <w:vanish/>
      </w:rPr>
    </w:pPr>
    <w:r>
      <w:rPr>
        <w:vanish/>
      </w:rPr>
      <w:t>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FE01" w14:textId="77777777" w:rsidR="00472ED0" w:rsidRDefault="00472ED0" w:rsidP="009E7ADC">
      <w:pPr>
        <w:rPr>
          <w:sz w:val="18"/>
        </w:rPr>
      </w:pPr>
    </w:p>
  </w:footnote>
  <w:footnote w:type="continuationSeparator" w:id="0">
    <w:p w14:paraId="13CB1F33" w14:textId="77777777" w:rsidR="00472ED0" w:rsidRDefault="00472ED0" w:rsidP="009E7ADC"/>
  </w:footnote>
  <w:footnote w:type="continuationNotice" w:id="1">
    <w:p w14:paraId="1BF2B818" w14:textId="77777777" w:rsidR="00472ED0" w:rsidRDefault="00472ED0" w:rsidP="004E2B3B"/>
  </w:footnote>
  <w:footnote w:id="2">
    <w:p w14:paraId="7A10544D" w14:textId="46206886" w:rsidR="00893A00" w:rsidRPr="00C40903" w:rsidRDefault="00893A00" w:rsidP="00776BEE">
      <w:pPr>
        <w:pStyle w:val="Textonotapie"/>
        <w:ind w:left="284" w:hanging="284"/>
        <w:rPr>
          <w:lang w:val="es-ES_tradnl"/>
        </w:rPr>
      </w:pPr>
      <w:r w:rsidRPr="00C40903">
        <w:rPr>
          <w:rStyle w:val="Refdenotaalpie"/>
          <w:lang w:val="es-ES_tradnl"/>
        </w:rPr>
        <w:footnoteRef/>
      </w:r>
      <w:r w:rsidR="00776BEE" w:rsidRPr="00C40903">
        <w:rPr>
          <w:lang w:val="es-ES_tradnl"/>
        </w:rPr>
        <w:tab/>
      </w:r>
      <w:r w:rsidRPr="00C40903">
        <w:rPr>
          <w:lang w:val="es-ES_tradnl"/>
        </w:rPr>
        <w:t xml:space="preserve">Si un operador designado autodeclara las tasas suplementarias para la distribución de encomiendas en zonas no contiguas, es necesario completar la herramienta de cálculo de tasas de remuneración para las encomiendas (disponible en el enlace </w:t>
      </w:r>
      <w:r w:rsidRPr="00C40903">
        <w:rPr>
          <w:rStyle w:val="Fuerte"/>
          <w:b w:val="0"/>
          <w:lang w:val="es-ES_tradnl"/>
        </w:rPr>
        <w:t>upu.int/en/</w:t>
      </w:r>
      <w:proofErr w:type="spellStart"/>
      <w:r w:rsidRPr="00C40903">
        <w:rPr>
          <w:rStyle w:val="Fuerte"/>
          <w:b w:val="0"/>
          <w:lang w:val="es-ES_tradnl"/>
        </w:rPr>
        <w:t>parcels</w:t>
      </w:r>
      <w:proofErr w:type="spellEnd"/>
      <w:r w:rsidRPr="00C40903">
        <w:rPr>
          <w:lang w:val="es-ES_tradnl"/>
        </w:rPr>
        <w:t>) y transmitirla con la presente notificación.</w:t>
      </w:r>
    </w:p>
  </w:footnote>
  <w:footnote w:id="3">
    <w:p w14:paraId="159571A7" w14:textId="703FBFFB" w:rsidR="001E1F2C" w:rsidRPr="00C40903" w:rsidRDefault="001E1F2C" w:rsidP="00776BEE">
      <w:pPr>
        <w:pStyle w:val="Textonotapie"/>
        <w:ind w:left="284" w:hanging="284"/>
        <w:rPr>
          <w:lang w:val="es-ES_tradnl"/>
        </w:rPr>
      </w:pPr>
      <w:r w:rsidRPr="00C40903">
        <w:rPr>
          <w:rStyle w:val="Refdenotaalpie"/>
          <w:lang w:val="es-ES_tradnl"/>
        </w:rPr>
        <w:footnoteRef/>
      </w:r>
      <w:r w:rsidR="00776BEE" w:rsidRPr="00C40903">
        <w:rPr>
          <w:lang w:val="es-ES_tradnl"/>
        </w:rPr>
        <w:tab/>
      </w:r>
      <w:r w:rsidRPr="00C40903">
        <w:rPr>
          <w:lang w:val="es-ES_tradnl"/>
        </w:rPr>
        <w:t xml:space="preserve">Sujeto a la adopción por el CEP de la proposición que figura en el documento CEP C 2 2026.1–Doc </w:t>
      </w:r>
      <w:proofErr w:type="gramStart"/>
      <w:r w:rsidRPr="00C40903">
        <w:rPr>
          <w:lang w:val="es-ES_tradnl"/>
        </w:rPr>
        <w:t>7.Anexo</w:t>
      </w:r>
      <w:proofErr w:type="gramEnd"/>
      <w:r w:rsidRPr="00C40903">
        <w:rPr>
          <w:lang w:val="es-ES_tradnl"/>
        </w:rPr>
        <w:t xml:space="preserve"> 44 en el período de sesiones 2026.1 del CEP (S1), si el operador designado elige aplicar el método de la distancia media para las tarifas por zona, la distancia media, acompañada de los datos justificativos, deberá comunicarse antes de la declaración oficial o junto con ella. Esta proposición debería entrar en vigor el 1º de enero de 2027 y es consecuencia de las decisiones del Congreso de Dubái.</w:t>
      </w:r>
    </w:p>
  </w:footnote>
  <w:footnote w:id="4">
    <w:p w14:paraId="441256DD" w14:textId="333E6351" w:rsidR="004816C8" w:rsidRPr="00C40903" w:rsidRDefault="004816C8" w:rsidP="00776BEE">
      <w:pPr>
        <w:pStyle w:val="Textonotapie"/>
        <w:ind w:left="284" w:hanging="284"/>
        <w:rPr>
          <w:lang w:val="es-ES_tradnl"/>
        </w:rPr>
      </w:pPr>
      <w:r w:rsidRPr="00C40903">
        <w:rPr>
          <w:rStyle w:val="Refdenotaalpie"/>
          <w:lang w:val="es-ES_tradnl"/>
        </w:rPr>
        <w:footnoteRef/>
      </w:r>
      <w:r w:rsidR="00776BEE"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w:t>
      </w:r>
      <w:r w:rsidR="009340B5" w:rsidRPr="00C40903">
        <w:rPr>
          <w:lang w:val="es-ES_tradnl"/>
        </w:rPr>
        <w:t xml:space="preserve"> </w:t>
      </w:r>
      <w:r w:rsidR="009C49BB" w:rsidRPr="00C40903">
        <w:rPr>
          <w:lang w:val="es-ES_tradnl"/>
        </w:rPr>
        <w:t>y debería entrar en vigor el 1º de enero de 2027.</w:t>
      </w:r>
    </w:p>
  </w:footnote>
  <w:footnote w:id="5">
    <w:p w14:paraId="64C856A2" w14:textId="4E05A651" w:rsidR="004816C8" w:rsidRPr="00C40903" w:rsidRDefault="004816C8" w:rsidP="00776BEE">
      <w:pPr>
        <w:pStyle w:val="Textonotapie"/>
        <w:ind w:left="284" w:hanging="284"/>
        <w:rPr>
          <w:lang w:val="es-ES_tradnl"/>
        </w:rPr>
      </w:pPr>
      <w:r w:rsidRPr="00C40903">
        <w:rPr>
          <w:rStyle w:val="Refdenotaalpie"/>
          <w:lang w:val="es-ES_tradnl"/>
        </w:rPr>
        <w:footnoteRef/>
      </w:r>
      <w:r w:rsidR="00776BEE"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 y debería entrar en vigor el 1º de enero de 2027.</w:t>
      </w:r>
    </w:p>
  </w:footnote>
  <w:footnote w:id="6">
    <w:p w14:paraId="6DFD65A6" w14:textId="351A385E" w:rsidR="004816C8" w:rsidRPr="00C40903" w:rsidRDefault="004816C8" w:rsidP="00776BEE">
      <w:pPr>
        <w:pStyle w:val="Textonotapie"/>
        <w:ind w:left="284" w:hanging="284"/>
        <w:rPr>
          <w:lang w:val="es-ES_tradnl"/>
        </w:rPr>
      </w:pPr>
      <w:r w:rsidRPr="00C40903">
        <w:rPr>
          <w:rStyle w:val="Refdenotaalpie"/>
          <w:lang w:val="es-ES_tradnl"/>
        </w:rPr>
        <w:footnoteRef/>
      </w:r>
      <w:r w:rsidR="00344935"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 y debería entrar en vigor el 1º de enero de 2027.</w:t>
      </w:r>
    </w:p>
  </w:footnote>
  <w:footnote w:id="7">
    <w:p w14:paraId="20649FE1" w14:textId="46415F27" w:rsidR="004816C8" w:rsidRPr="00C40903" w:rsidRDefault="004816C8" w:rsidP="00776BEE">
      <w:pPr>
        <w:pStyle w:val="Textonotapie"/>
        <w:ind w:left="284" w:hanging="284"/>
        <w:rPr>
          <w:lang w:val="es-ES_tradnl"/>
        </w:rPr>
      </w:pPr>
      <w:r w:rsidRPr="00C40903">
        <w:rPr>
          <w:rStyle w:val="Refdenotaalpie"/>
          <w:lang w:val="es-ES_tradnl"/>
        </w:rPr>
        <w:footnoteRef/>
      </w:r>
      <w:r w:rsidR="00344935"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 y debería entrar en vigor el 1º de enero de 2027.</w:t>
      </w:r>
    </w:p>
  </w:footnote>
  <w:footnote w:id="8">
    <w:p w14:paraId="4C967DB4" w14:textId="2DF4BAC0" w:rsidR="004816C8" w:rsidRPr="00C40903" w:rsidRDefault="004816C8" w:rsidP="00776BEE">
      <w:pPr>
        <w:pStyle w:val="Textonotapie"/>
        <w:ind w:left="284" w:hanging="284"/>
        <w:rPr>
          <w:lang w:val="es-ES_tradnl"/>
        </w:rPr>
      </w:pPr>
      <w:r w:rsidRPr="00C40903">
        <w:rPr>
          <w:rStyle w:val="Refdenotaalpie"/>
          <w:lang w:val="es-ES_tradnl"/>
        </w:rPr>
        <w:footnoteRef/>
      </w:r>
      <w:r w:rsidR="00152A6B"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 y debería entrar en vigor el 1º de enero de 2027.</w:t>
      </w:r>
    </w:p>
  </w:footnote>
  <w:footnote w:id="9">
    <w:p w14:paraId="3B7AF5C7" w14:textId="2A9CF5D9" w:rsidR="004816C8" w:rsidRPr="00C40903" w:rsidRDefault="004816C8" w:rsidP="00776BEE">
      <w:pPr>
        <w:pStyle w:val="Textonotapie"/>
        <w:ind w:left="284" w:hanging="284"/>
        <w:rPr>
          <w:lang w:val="es-ES_tradnl"/>
        </w:rPr>
      </w:pPr>
      <w:r w:rsidRPr="00C40903">
        <w:rPr>
          <w:rStyle w:val="Refdenotaalpie"/>
          <w:lang w:val="es-ES_tradnl"/>
        </w:rPr>
        <w:footnoteRef/>
      </w:r>
      <w:r w:rsidR="00152A6B" w:rsidRPr="00C40903">
        <w:rPr>
          <w:lang w:val="es-ES_tradnl"/>
        </w:rPr>
        <w:tab/>
      </w:r>
      <w:r w:rsidRPr="00C40903">
        <w:rPr>
          <w:lang w:val="es-ES_tradnl"/>
        </w:rPr>
        <w:t>De conformidad con el artículo 33-201.4.4 del Reglamento del Convenio, si el operador designado elige aplicar el método de la distancia media para las tarifas por zona, la distancia media, acompañada de los datos justificativos, deberá comunicarse antes de la declaración oficial o junto con ella. Este artículo está en espera de las modificaciones en consecuencia derivadas de las decisiones del Congreso de Dubái y debería entrar en vigor el 1º de enero de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C94D" w14:textId="77777777" w:rsidR="001E1F2C" w:rsidRDefault="001E1F2C">
    <w:pPr>
      <w:jc w:val="center"/>
    </w:pPr>
    <w:r>
      <w:pgNum/>
    </w:r>
  </w:p>
  <w:p w14:paraId="67DA6A15" w14:textId="77777777" w:rsidR="001E1F2C" w:rsidRDefault="001E1F2C">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7054" w14:textId="77777777" w:rsidR="001E1F2C" w:rsidRDefault="001E1F2C" w:rsidP="00F639BA">
    <w:pPr>
      <w:jc w:val="center"/>
    </w:pPr>
    <w:r>
      <w:pgNum/>
    </w:r>
  </w:p>
  <w:p w14:paraId="5AD51B1C" w14:textId="77777777" w:rsidR="001E1F2C" w:rsidRDefault="001E1F2C"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1E1F2C" w:rsidRPr="00024935" w14:paraId="455171CD" w14:textId="77777777">
      <w:trPr>
        <w:trHeight w:val="1418"/>
      </w:trPr>
      <w:tc>
        <w:tcPr>
          <w:tcW w:w="3969" w:type="dxa"/>
        </w:tcPr>
        <w:p w14:paraId="43B22EFA" w14:textId="6852D4F8" w:rsidR="001E1F2C" w:rsidRPr="00024935" w:rsidRDefault="00D96C3E" w:rsidP="00AE0D85">
          <w:pPr>
            <w:pStyle w:val="Encabezado"/>
            <w:spacing w:before="20" w:after="1180"/>
            <w:rPr>
              <w:rFonts w:ascii="45 Helvetica Light" w:hAnsi="45 Helvetica Light"/>
              <w:sz w:val="18"/>
            </w:rPr>
          </w:pPr>
          <w:r>
            <w:rPr>
              <w:rFonts w:ascii="45 Helvetica Light" w:hAnsi="45 Helvetica Light"/>
              <w:noProof/>
              <w:sz w:val="18"/>
            </w:rPr>
            <w:drawing>
              <wp:inline distT="0" distB="0" distL="0" distR="0" wp14:anchorId="70FC57B2" wp14:editId="1BBD4612">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793D7228" w14:textId="7CADF67F" w:rsidR="00FE51EA" w:rsidRPr="00024935" w:rsidRDefault="00D96C3E" w:rsidP="00145CCB">
          <w:pPr>
            <w:autoSpaceDE w:val="0"/>
            <w:autoSpaceDN w:val="0"/>
            <w:adjustRightInd w:val="0"/>
            <w:jc w:val="right"/>
          </w:pPr>
          <w:r>
            <w:t>Anexo 1 del oficio 0426(</w:t>
          </w:r>
          <w:proofErr w:type="spellStart"/>
          <w:r>
            <w:t>DPRM.PPRE.RDI</w:t>
          </w:r>
          <w:proofErr w:type="spellEnd"/>
          <w:r>
            <w:t xml:space="preserve">)1026 </w:t>
          </w:r>
          <w:r>
            <w:br/>
            <w:t>del 26 de marzo de 2026</w:t>
          </w:r>
        </w:p>
      </w:tc>
    </w:tr>
  </w:tbl>
  <w:p w14:paraId="60879652" w14:textId="1D72F775" w:rsidR="001E1F2C" w:rsidRPr="00024935" w:rsidRDefault="001E1F2C">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AC7"/>
    <w:multiLevelType w:val="hybridMultilevel"/>
    <w:tmpl w:val="FEC46B38"/>
    <w:lvl w:ilvl="0" w:tplc="596E311A">
      <w:numFmt w:val="bullet"/>
      <w:lvlText w:val="–"/>
      <w:lvlJc w:val="left"/>
      <w:pPr>
        <w:ind w:left="1287" w:hanging="360"/>
      </w:pPr>
      <w:rPr>
        <w:rFonts w:ascii="Arial" w:hAnsi="Arial" w:cs="Times New Roman" w:hint="default"/>
        <w:b w:val="0"/>
        <w:i w:val="0"/>
        <w:sz w:val="20"/>
        <w:szCs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4"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C962397"/>
    <w:multiLevelType w:val="hybridMultilevel"/>
    <w:tmpl w:val="C7EC4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D0657"/>
    <w:multiLevelType w:val="hybridMultilevel"/>
    <w:tmpl w:val="D16E0636"/>
    <w:lvl w:ilvl="0" w:tplc="B8CE624E">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1"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2"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4" w15:restartNumberingAfterBreak="0">
    <w:nsid w:val="5A331DDC"/>
    <w:multiLevelType w:val="hybridMultilevel"/>
    <w:tmpl w:val="6058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6"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18"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9" w15:restartNumberingAfterBreak="0">
    <w:nsid w:val="6ED368D8"/>
    <w:multiLevelType w:val="hybridMultilevel"/>
    <w:tmpl w:val="F1365CFA"/>
    <w:lvl w:ilvl="0" w:tplc="6FE421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2EB7474"/>
    <w:multiLevelType w:val="hybridMultilevel"/>
    <w:tmpl w:val="B81218A8"/>
    <w:lvl w:ilvl="0" w:tplc="3934FD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2" w15:restartNumberingAfterBreak="0">
    <w:nsid w:val="7A881468"/>
    <w:multiLevelType w:val="hybridMultilevel"/>
    <w:tmpl w:val="6F06C174"/>
    <w:lvl w:ilvl="0" w:tplc="3C42FC0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69471387">
    <w:abstractNumId w:val="10"/>
  </w:num>
  <w:num w:numId="2" w16cid:durableId="1118180377">
    <w:abstractNumId w:val="9"/>
  </w:num>
  <w:num w:numId="3" w16cid:durableId="1151486230">
    <w:abstractNumId w:val="6"/>
  </w:num>
  <w:num w:numId="4" w16cid:durableId="815415777">
    <w:abstractNumId w:val="5"/>
  </w:num>
  <w:num w:numId="5" w16cid:durableId="170024457">
    <w:abstractNumId w:val="11"/>
  </w:num>
  <w:num w:numId="6" w16cid:durableId="80838213">
    <w:abstractNumId w:val="21"/>
  </w:num>
  <w:num w:numId="7" w16cid:durableId="1897273206">
    <w:abstractNumId w:val="23"/>
  </w:num>
  <w:num w:numId="8" w16cid:durableId="378165559">
    <w:abstractNumId w:val="4"/>
  </w:num>
  <w:num w:numId="9" w16cid:durableId="1651054656">
    <w:abstractNumId w:val="2"/>
  </w:num>
  <w:num w:numId="10" w16cid:durableId="648557821">
    <w:abstractNumId w:val="15"/>
  </w:num>
  <w:num w:numId="11" w16cid:durableId="1446608660">
    <w:abstractNumId w:val="13"/>
  </w:num>
  <w:num w:numId="12" w16cid:durableId="1731880405">
    <w:abstractNumId w:val="18"/>
  </w:num>
  <w:num w:numId="13" w16cid:durableId="977540187">
    <w:abstractNumId w:val="1"/>
  </w:num>
  <w:num w:numId="14" w16cid:durableId="1697273971">
    <w:abstractNumId w:val="17"/>
  </w:num>
  <w:num w:numId="15" w16cid:durableId="910501012">
    <w:abstractNumId w:val="3"/>
  </w:num>
  <w:num w:numId="16" w16cid:durableId="2018534989">
    <w:abstractNumId w:val="17"/>
  </w:num>
  <w:num w:numId="17" w16cid:durableId="439683934">
    <w:abstractNumId w:val="1"/>
  </w:num>
  <w:num w:numId="18" w16cid:durableId="1875118219">
    <w:abstractNumId w:val="3"/>
  </w:num>
  <w:num w:numId="19" w16cid:durableId="2028946285">
    <w:abstractNumId w:val="16"/>
  </w:num>
  <w:num w:numId="20" w16cid:durableId="474614092">
    <w:abstractNumId w:val="12"/>
  </w:num>
  <w:num w:numId="21" w16cid:durableId="10106718">
    <w:abstractNumId w:val="1"/>
  </w:num>
  <w:num w:numId="22" w16cid:durableId="332758505">
    <w:abstractNumId w:val="17"/>
  </w:num>
  <w:num w:numId="23" w16cid:durableId="222376000">
    <w:abstractNumId w:val="3"/>
  </w:num>
  <w:num w:numId="24" w16cid:durableId="157580891">
    <w:abstractNumId w:val="20"/>
  </w:num>
  <w:num w:numId="25" w16cid:durableId="142235776">
    <w:abstractNumId w:val="7"/>
  </w:num>
  <w:num w:numId="26" w16cid:durableId="1012073113">
    <w:abstractNumId w:val="19"/>
  </w:num>
  <w:num w:numId="27" w16cid:durableId="918096268">
    <w:abstractNumId w:val="22"/>
  </w:num>
  <w:num w:numId="28" w16cid:durableId="1882279435">
    <w:abstractNumId w:val="14"/>
  </w:num>
  <w:num w:numId="29" w16cid:durableId="1183206606">
    <w:abstractNumId w:val="8"/>
  </w:num>
  <w:num w:numId="30" w16cid:durableId="37978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C5"/>
    <w:rsid w:val="000021DD"/>
    <w:rsid w:val="00004D2B"/>
    <w:rsid w:val="000109FE"/>
    <w:rsid w:val="00021391"/>
    <w:rsid w:val="0002298F"/>
    <w:rsid w:val="00023669"/>
    <w:rsid w:val="00024935"/>
    <w:rsid w:val="00026EC5"/>
    <w:rsid w:val="00035467"/>
    <w:rsid w:val="00037E81"/>
    <w:rsid w:val="00042B2E"/>
    <w:rsid w:val="000465C9"/>
    <w:rsid w:val="00051A48"/>
    <w:rsid w:val="000528D1"/>
    <w:rsid w:val="000600CC"/>
    <w:rsid w:val="00063B6C"/>
    <w:rsid w:val="000648DF"/>
    <w:rsid w:val="00065546"/>
    <w:rsid w:val="0007187C"/>
    <w:rsid w:val="0007195D"/>
    <w:rsid w:val="000764E9"/>
    <w:rsid w:val="000B207B"/>
    <w:rsid w:val="000B24C3"/>
    <w:rsid w:val="000C3C1B"/>
    <w:rsid w:val="000C5FD3"/>
    <w:rsid w:val="000C7679"/>
    <w:rsid w:val="000D1BB1"/>
    <w:rsid w:val="000D390D"/>
    <w:rsid w:val="000E0AB2"/>
    <w:rsid w:val="000E43F2"/>
    <w:rsid w:val="000E64FA"/>
    <w:rsid w:val="000E7B98"/>
    <w:rsid w:val="000F70A4"/>
    <w:rsid w:val="001006F4"/>
    <w:rsid w:val="00104E59"/>
    <w:rsid w:val="00104F21"/>
    <w:rsid w:val="0011269C"/>
    <w:rsid w:val="00121A6F"/>
    <w:rsid w:val="00134E0E"/>
    <w:rsid w:val="001406C7"/>
    <w:rsid w:val="001431D9"/>
    <w:rsid w:val="001440AB"/>
    <w:rsid w:val="00145CCB"/>
    <w:rsid w:val="00152A6B"/>
    <w:rsid w:val="001567C5"/>
    <w:rsid w:val="00156AF2"/>
    <w:rsid w:val="0016058D"/>
    <w:rsid w:val="00161F92"/>
    <w:rsid w:val="0017006D"/>
    <w:rsid w:val="00170D9B"/>
    <w:rsid w:val="00171E57"/>
    <w:rsid w:val="00172757"/>
    <w:rsid w:val="00177C4B"/>
    <w:rsid w:val="001813EE"/>
    <w:rsid w:val="001972FE"/>
    <w:rsid w:val="001A4314"/>
    <w:rsid w:val="001A7E21"/>
    <w:rsid w:val="001B200E"/>
    <w:rsid w:val="001C3C43"/>
    <w:rsid w:val="001C5DA3"/>
    <w:rsid w:val="001E0CB7"/>
    <w:rsid w:val="001E1F2C"/>
    <w:rsid w:val="001E3A46"/>
    <w:rsid w:val="001F020C"/>
    <w:rsid w:val="001F1C20"/>
    <w:rsid w:val="001F7600"/>
    <w:rsid w:val="001F7D7B"/>
    <w:rsid w:val="0020171F"/>
    <w:rsid w:val="00203B1A"/>
    <w:rsid w:val="00225DA3"/>
    <w:rsid w:val="00230456"/>
    <w:rsid w:val="00232DCA"/>
    <w:rsid w:val="00234621"/>
    <w:rsid w:val="00240E8B"/>
    <w:rsid w:val="002613C3"/>
    <w:rsid w:val="00261EAE"/>
    <w:rsid w:val="0026706D"/>
    <w:rsid w:val="00272937"/>
    <w:rsid w:val="00274055"/>
    <w:rsid w:val="0027721A"/>
    <w:rsid w:val="00282124"/>
    <w:rsid w:val="0029168C"/>
    <w:rsid w:val="00292517"/>
    <w:rsid w:val="0029440B"/>
    <w:rsid w:val="00294B59"/>
    <w:rsid w:val="002A3142"/>
    <w:rsid w:val="002A5C98"/>
    <w:rsid w:val="002A663B"/>
    <w:rsid w:val="002B1019"/>
    <w:rsid w:val="002B1B7A"/>
    <w:rsid w:val="002B2A67"/>
    <w:rsid w:val="002B66E8"/>
    <w:rsid w:val="002C3576"/>
    <w:rsid w:val="002F7773"/>
    <w:rsid w:val="003002DC"/>
    <w:rsid w:val="0030384B"/>
    <w:rsid w:val="00305351"/>
    <w:rsid w:val="003104EA"/>
    <w:rsid w:val="003118BD"/>
    <w:rsid w:val="00317B10"/>
    <w:rsid w:val="00317E87"/>
    <w:rsid w:val="00325076"/>
    <w:rsid w:val="00325132"/>
    <w:rsid w:val="00326D1C"/>
    <w:rsid w:val="00327B0B"/>
    <w:rsid w:val="00331C6E"/>
    <w:rsid w:val="003405FB"/>
    <w:rsid w:val="003407BC"/>
    <w:rsid w:val="00342CD6"/>
    <w:rsid w:val="00343FF6"/>
    <w:rsid w:val="00344935"/>
    <w:rsid w:val="00355163"/>
    <w:rsid w:val="00361DE6"/>
    <w:rsid w:val="0036607E"/>
    <w:rsid w:val="00367849"/>
    <w:rsid w:val="00372B67"/>
    <w:rsid w:val="0037420A"/>
    <w:rsid w:val="003750AE"/>
    <w:rsid w:val="00376861"/>
    <w:rsid w:val="003A33C5"/>
    <w:rsid w:val="003A3AAE"/>
    <w:rsid w:val="003A4D77"/>
    <w:rsid w:val="003B0438"/>
    <w:rsid w:val="003B1F46"/>
    <w:rsid w:val="003C21A0"/>
    <w:rsid w:val="003D0BA4"/>
    <w:rsid w:val="003F351E"/>
    <w:rsid w:val="00407587"/>
    <w:rsid w:val="00415C4B"/>
    <w:rsid w:val="00422F57"/>
    <w:rsid w:val="004306E9"/>
    <w:rsid w:val="00437CB5"/>
    <w:rsid w:val="00444852"/>
    <w:rsid w:val="004558EF"/>
    <w:rsid w:val="00457A43"/>
    <w:rsid w:val="0046077D"/>
    <w:rsid w:val="004611D5"/>
    <w:rsid w:val="00471CE5"/>
    <w:rsid w:val="00472ED0"/>
    <w:rsid w:val="00474872"/>
    <w:rsid w:val="00476057"/>
    <w:rsid w:val="004816C8"/>
    <w:rsid w:val="0048190D"/>
    <w:rsid w:val="00490D84"/>
    <w:rsid w:val="004A31FB"/>
    <w:rsid w:val="004A3CA2"/>
    <w:rsid w:val="004A66E9"/>
    <w:rsid w:val="004A6F3C"/>
    <w:rsid w:val="004A7796"/>
    <w:rsid w:val="004C1FE9"/>
    <w:rsid w:val="004C4EBF"/>
    <w:rsid w:val="004C6BEE"/>
    <w:rsid w:val="004D03CA"/>
    <w:rsid w:val="004D221E"/>
    <w:rsid w:val="004D2DA6"/>
    <w:rsid w:val="004E05F3"/>
    <w:rsid w:val="004E1F28"/>
    <w:rsid w:val="004E2B3B"/>
    <w:rsid w:val="004E63E4"/>
    <w:rsid w:val="004F44FA"/>
    <w:rsid w:val="004F46B0"/>
    <w:rsid w:val="004F71C6"/>
    <w:rsid w:val="005120F9"/>
    <w:rsid w:val="0051701F"/>
    <w:rsid w:val="00527FF5"/>
    <w:rsid w:val="005345AF"/>
    <w:rsid w:val="00562004"/>
    <w:rsid w:val="0056201C"/>
    <w:rsid w:val="00565476"/>
    <w:rsid w:val="00570EDB"/>
    <w:rsid w:val="005749CB"/>
    <w:rsid w:val="005756A0"/>
    <w:rsid w:val="00575A91"/>
    <w:rsid w:val="00577828"/>
    <w:rsid w:val="00590BBB"/>
    <w:rsid w:val="005A1FD5"/>
    <w:rsid w:val="005A585B"/>
    <w:rsid w:val="005B20C7"/>
    <w:rsid w:val="005B3DA1"/>
    <w:rsid w:val="005C2838"/>
    <w:rsid w:val="005C4305"/>
    <w:rsid w:val="005D36DD"/>
    <w:rsid w:val="005D36F8"/>
    <w:rsid w:val="005D42D7"/>
    <w:rsid w:val="005D6C35"/>
    <w:rsid w:val="005D7F27"/>
    <w:rsid w:val="005E5DC2"/>
    <w:rsid w:val="005F0892"/>
    <w:rsid w:val="005F4A1C"/>
    <w:rsid w:val="005F6E6F"/>
    <w:rsid w:val="0060640F"/>
    <w:rsid w:val="006140F1"/>
    <w:rsid w:val="00625B37"/>
    <w:rsid w:val="00637585"/>
    <w:rsid w:val="006439DE"/>
    <w:rsid w:val="0065226B"/>
    <w:rsid w:val="00653717"/>
    <w:rsid w:val="00653FFD"/>
    <w:rsid w:val="0065456D"/>
    <w:rsid w:val="00654B91"/>
    <w:rsid w:val="00655E2C"/>
    <w:rsid w:val="00656A8B"/>
    <w:rsid w:val="0065769C"/>
    <w:rsid w:val="00671A0E"/>
    <w:rsid w:val="006724B1"/>
    <w:rsid w:val="00676905"/>
    <w:rsid w:val="006A79AB"/>
    <w:rsid w:val="006B1882"/>
    <w:rsid w:val="006B3E04"/>
    <w:rsid w:val="006C019C"/>
    <w:rsid w:val="006C039A"/>
    <w:rsid w:val="006C47EF"/>
    <w:rsid w:val="006D10F5"/>
    <w:rsid w:val="006D4340"/>
    <w:rsid w:val="006D5D8D"/>
    <w:rsid w:val="006E36B1"/>
    <w:rsid w:val="00701468"/>
    <w:rsid w:val="00707229"/>
    <w:rsid w:val="00717D08"/>
    <w:rsid w:val="00734FAC"/>
    <w:rsid w:val="00736EE4"/>
    <w:rsid w:val="0074160B"/>
    <w:rsid w:val="00756C4A"/>
    <w:rsid w:val="00757BB9"/>
    <w:rsid w:val="00761DEC"/>
    <w:rsid w:val="0076291C"/>
    <w:rsid w:val="00762DB1"/>
    <w:rsid w:val="00765B70"/>
    <w:rsid w:val="00767296"/>
    <w:rsid w:val="0077420D"/>
    <w:rsid w:val="00776BEE"/>
    <w:rsid w:val="00780CBD"/>
    <w:rsid w:val="00783C7C"/>
    <w:rsid w:val="00784E5D"/>
    <w:rsid w:val="007A2839"/>
    <w:rsid w:val="007A5281"/>
    <w:rsid w:val="007A6867"/>
    <w:rsid w:val="007A71CA"/>
    <w:rsid w:val="007B1781"/>
    <w:rsid w:val="007B382F"/>
    <w:rsid w:val="007B6036"/>
    <w:rsid w:val="007B6D99"/>
    <w:rsid w:val="007C679A"/>
    <w:rsid w:val="007D07CD"/>
    <w:rsid w:val="007D2933"/>
    <w:rsid w:val="007D6956"/>
    <w:rsid w:val="007E0555"/>
    <w:rsid w:val="007E0A42"/>
    <w:rsid w:val="007E0ECF"/>
    <w:rsid w:val="007E15A4"/>
    <w:rsid w:val="007F2294"/>
    <w:rsid w:val="007F6E68"/>
    <w:rsid w:val="0081278C"/>
    <w:rsid w:val="00824C79"/>
    <w:rsid w:val="00840AFA"/>
    <w:rsid w:val="00857B50"/>
    <w:rsid w:val="00865365"/>
    <w:rsid w:val="00871D92"/>
    <w:rsid w:val="0087570D"/>
    <w:rsid w:val="00893A00"/>
    <w:rsid w:val="00893FAF"/>
    <w:rsid w:val="00894CD8"/>
    <w:rsid w:val="00897E26"/>
    <w:rsid w:val="008A5A68"/>
    <w:rsid w:val="008B7E25"/>
    <w:rsid w:val="008C3BCC"/>
    <w:rsid w:val="008D1543"/>
    <w:rsid w:val="008D3810"/>
    <w:rsid w:val="008D574E"/>
    <w:rsid w:val="008E54AA"/>
    <w:rsid w:val="008E7619"/>
    <w:rsid w:val="008E7F76"/>
    <w:rsid w:val="008F12A9"/>
    <w:rsid w:val="008F6845"/>
    <w:rsid w:val="00901778"/>
    <w:rsid w:val="00905F23"/>
    <w:rsid w:val="0091074C"/>
    <w:rsid w:val="0092560B"/>
    <w:rsid w:val="009268A7"/>
    <w:rsid w:val="00932DC4"/>
    <w:rsid w:val="009340B5"/>
    <w:rsid w:val="009434D3"/>
    <w:rsid w:val="0095297F"/>
    <w:rsid w:val="009569DE"/>
    <w:rsid w:val="00957C85"/>
    <w:rsid w:val="00957FCD"/>
    <w:rsid w:val="00962C2F"/>
    <w:rsid w:val="00965187"/>
    <w:rsid w:val="00971EF0"/>
    <w:rsid w:val="00974119"/>
    <w:rsid w:val="00975660"/>
    <w:rsid w:val="00976243"/>
    <w:rsid w:val="00992D8E"/>
    <w:rsid w:val="00996FC9"/>
    <w:rsid w:val="009B3517"/>
    <w:rsid w:val="009B449A"/>
    <w:rsid w:val="009B6E11"/>
    <w:rsid w:val="009C49BB"/>
    <w:rsid w:val="009C5BD0"/>
    <w:rsid w:val="009D0F1A"/>
    <w:rsid w:val="009D77AD"/>
    <w:rsid w:val="009E3C35"/>
    <w:rsid w:val="009E74B5"/>
    <w:rsid w:val="009E7ADC"/>
    <w:rsid w:val="009F02C0"/>
    <w:rsid w:val="009F0973"/>
    <w:rsid w:val="009F110E"/>
    <w:rsid w:val="009F36E2"/>
    <w:rsid w:val="00A01130"/>
    <w:rsid w:val="00A0612D"/>
    <w:rsid w:val="00A06C89"/>
    <w:rsid w:val="00A12A98"/>
    <w:rsid w:val="00A2134C"/>
    <w:rsid w:val="00A24AC7"/>
    <w:rsid w:val="00A26172"/>
    <w:rsid w:val="00A418A0"/>
    <w:rsid w:val="00A455D1"/>
    <w:rsid w:val="00A53E1E"/>
    <w:rsid w:val="00A5792F"/>
    <w:rsid w:val="00A6703E"/>
    <w:rsid w:val="00A73891"/>
    <w:rsid w:val="00A809D7"/>
    <w:rsid w:val="00A908A6"/>
    <w:rsid w:val="00A92377"/>
    <w:rsid w:val="00AA01D2"/>
    <w:rsid w:val="00AA61ED"/>
    <w:rsid w:val="00AB1169"/>
    <w:rsid w:val="00AB7653"/>
    <w:rsid w:val="00AC2359"/>
    <w:rsid w:val="00AD26E8"/>
    <w:rsid w:val="00AE0D85"/>
    <w:rsid w:val="00AE0FF1"/>
    <w:rsid w:val="00AE2BF2"/>
    <w:rsid w:val="00AE706A"/>
    <w:rsid w:val="00AF2801"/>
    <w:rsid w:val="00AF3FCA"/>
    <w:rsid w:val="00B00E3F"/>
    <w:rsid w:val="00B010D9"/>
    <w:rsid w:val="00B11447"/>
    <w:rsid w:val="00B122B5"/>
    <w:rsid w:val="00B13AB9"/>
    <w:rsid w:val="00B1711E"/>
    <w:rsid w:val="00B261FB"/>
    <w:rsid w:val="00B262DA"/>
    <w:rsid w:val="00B30CB2"/>
    <w:rsid w:val="00B40E14"/>
    <w:rsid w:val="00B4121C"/>
    <w:rsid w:val="00B458DD"/>
    <w:rsid w:val="00B46E95"/>
    <w:rsid w:val="00B64FB3"/>
    <w:rsid w:val="00B660E8"/>
    <w:rsid w:val="00B7190D"/>
    <w:rsid w:val="00B73E80"/>
    <w:rsid w:val="00B74203"/>
    <w:rsid w:val="00B838AD"/>
    <w:rsid w:val="00B86608"/>
    <w:rsid w:val="00B90299"/>
    <w:rsid w:val="00B97103"/>
    <w:rsid w:val="00BA404F"/>
    <w:rsid w:val="00BA6EF4"/>
    <w:rsid w:val="00BA7BD8"/>
    <w:rsid w:val="00BB1683"/>
    <w:rsid w:val="00BB38FB"/>
    <w:rsid w:val="00BC0807"/>
    <w:rsid w:val="00BC1442"/>
    <w:rsid w:val="00BC4919"/>
    <w:rsid w:val="00BC614C"/>
    <w:rsid w:val="00BD1250"/>
    <w:rsid w:val="00BD57BE"/>
    <w:rsid w:val="00BF2822"/>
    <w:rsid w:val="00BF2F28"/>
    <w:rsid w:val="00BF5B9E"/>
    <w:rsid w:val="00C002E9"/>
    <w:rsid w:val="00C0653D"/>
    <w:rsid w:val="00C06D24"/>
    <w:rsid w:val="00C06D93"/>
    <w:rsid w:val="00C11436"/>
    <w:rsid w:val="00C17350"/>
    <w:rsid w:val="00C21452"/>
    <w:rsid w:val="00C2769E"/>
    <w:rsid w:val="00C35110"/>
    <w:rsid w:val="00C402AE"/>
    <w:rsid w:val="00C40903"/>
    <w:rsid w:val="00C6678C"/>
    <w:rsid w:val="00C74575"/>
    <w:rsid w:val="00C74B88"/>
    <w:rsid w:val="00C903B8"/>
    <w:rsid w:val="00C91301"/>
    <w:rsid w:val="00C91C2F"/>
    <w:rsid w:val="00C95B4B"/>
    <w:rsid w:val="00CA3D20"/>
    <w:rsid w:val="00CB2FA6"/>
    <w:rsid w:val="00CB5D50"/>
    <w:rsid w:val="00CC02B4"/>
    <w:rsid w:val="00CC0402"/>
    <w:rsid w:val="00CC1C78"/>
    <w:rsid w:val="00CC3161"/>
    <w:rsid w:val="00CC5D87"/>
    <w:rsid w:val="00CC7367"/>
    <w:rsid w:val="00CD03E7"/>
    <w:rsid w:val="00CE2270"/>
    <w:rsid w:val="00CE4CBC"/>
    <w:rsid w:val="00D05DAB"/>
    <w:rsid w:val="00D154F8"/>
    <w:rsid w:val="00D238DA"/>
    <w:rsid w:val="00D30D17"/>
    <w:rsid w:val="00D34D28"/>
    <w:rsid w:val="00D3589B"/>
    <w:rsid w:val="00D479EA"/>
    <w:rsid w:val="00D50254"/>
    <w:rsid w:val="00D52C82"/>
    <w:rsid w:val="00D55215"/>
    <w:rsid w:val="00D61B31"/>
    <w:rsid w:val="00D64064"/>
    <w:rsid w:val="00D73262"/>
    <w:rsid w:val="00D73A0A"/>
    <w:rsid w:val="00D76FFE"/>
    <w:rsid w:val="00D84B5B"/>
    <w:rsid w:val="00D96C3E"/>
    <w:rsid w:val="00DA49AB"/>
    <w:rsid w:val="00DA646A"/>
    <w:rsid w:val="00DB3070"/>
    <w:rsid w:val="00DB7EC0"/>
    <w:rsid w:val="00DC4D86"/>
    <w:rsid w:val="00DD6817"/>
    <w:rsid w:val="00DF5EC3"/>
    <w:rsid w:val="00E03ECB"/>
    <w:rsid w:val="00E048A5"/>
    <w:rsid w:val="00E10CD5"/>
    <w:rsid w:val="00E23350"/>
    <w:rsid w:val="00E270C8"/>
    <w:rsid w:val="00E309C2"/>
    <w:rsid w:val="00E31D00"/>
    <w:rsid w:val="00E33B43"/>
    <w:rsid w:val="00E3448B"/>
    <w:rsid w:val="00E34B41"/>
    <w:rsid w:val="00E474F7"/>
    <w:rsid w:val="00E5621D"/>
    <w:rsid w:val="00E67A65"/>
    <w:rsid w:val="00E70D95"/>
    <w:rsid w:val="00E72B05"/>
    <w:rsid w:val="00E76C5C"/>
    <w:rsid w:val="00E774D5"/>
    <w:rsid w:val="00E85819"/>
    <w:rsid w:val="00EA24F9"/>
    <w:rsid w:val="00EA7390"/>
    <w:rsid w:val="00ED183A"/>
    <w:rsid w:val="00ED4FE6"/>
    <w:rsid w:val="00ED63F7"/>
    <w:rsid w:val="00ED6707"/>
    <w:rsid w:val="00ED7E1E"/>
    <w:rsid w:val="00EF2D76"/>
    <w:rsid w:val="00EF4F35"/>
    <w:rsid w:val="00F11A72"/>
    <w:rsid w:val="00F14115"/>
    <w:rsid w:val="00F1449F"/>
    <w:rsid w:val="00F15EB7"/>
    <w:rsid w:val="00F33A54"/>
    <w:rsid w:val="00F47F4B"/>
    <w:rsid w:val="00F50D0A"/>
    <w:rsid w:val="00F510BD"/>
    <w:rsid w:val="00F521BF"/>
    <w:rsid w:val="00F6214A"/>
    <w:rsid w:val="00F62978"/>
    <w:rsid w:val="00F639BA"/>
    <w:rsid w:val="00F641C3"/>
    <w:rsid w:val="00F86A30"/>
    <w:rsid w:val="00F87364"/>
    <w:rsid w:val="00F87A5B"/>
    <w:rsid w:val="00F92035"/>
    <w:rsid w:val="00F963C3"/>
    <w:rsid w:val="00FA2EFC"/>
    <w:rsid w:val="00FA5191"/>
    <w:rsid w:val="00FC0DCD"/>
    <w:rsid w:val="00FC2182"/>
    <w:rsid w:val="00FC523B"/>
    <w:rsid w:val="00FC5E68"/>
    <w:rsid w:val="00FD1C3E"/>
    <w:rsid w:val="00FD4FD5"/>
    <w:rsid w:val="00FE22B9"/>
    <w:rsid w:val="00FE3221"/>
    <w:rsid w:val="00FE51EA"/>
    <w:rsid w:val="00FE5BCC"/>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23883C95"/>
  <w15:docId w15:val="{CE9BF9A5-8D9E-47A0-AD9F-9B1B8876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621"/>
    <w:pPr>
      <w:spacing w:line="240" w:lineRule="atLeast"/>
    </w:pPr>
    <w:rPr>
      <w:rFonts w:ascii="Arial" w:hAnsi="Arial"/>
    </w:rPr>
  </w:style>
  <w:style w:type="paragraph" w:styleId="Ttulo1">
    <w:name w:val="heading 1"/>
    <w:basedOn w:val="Normal"/>
    <w:next w:val="Normal"/>
    <w:qFormat/>
    <w:pPr>
      <w:ind w:left="567" w:hanging="567"/>
      <w:jc w:val="both"/>
      <w:outlineLvl w:val="0"/>
    </w:pPr>
    <w:rPr>
      <w:b/>
      <w:bCs/>
    </w:rPr>
  </w:style>
  <w:style w:type="paragraph" w:styleId="Ttulo2">
    <w:name w:val="heading 2"/>
    <w:basedOn w:val="Normal"/>
    <w:next w:val="Normal"/>
    <w:qFormat/>
    <w:pPr>
      <w:ind w:left="567" w:hanging="567"/>
      <w:jc w:val="both"/>
      <w:outlineLvl w:val="1"/>
    </w:pPr>
    <w:rPr>
      <w:i/>
      <w:iCs/>
    </w:rPr>
  </w:style>
  <w:style w:type="paragraph" w:styleId="Ttulo3">
    <w:name w:val="heading 3"/>
    <w:basedOn w:val="Normal"/>
    <w:next w:val="Normal"/>
    <w:qFormat/>
    <w:pPr>
      <w:tabs>
        <w:tab w:val="left" w:pos="567"/>
      </w:tabs>
      <w:jc w:val="both"/>
      <w:outlineLvl w:val="2"/>
    </w:pPr>
  </w:style>
  <w:style w:type="paragraph" w:styleId="Ttulo4">
    <w:name w:val="heading 4"/>
    <w:basedOn w:val="Normal"/>
    <w:next w:val="Normal"/>
    <w:qFormat/>
    <w:rsid w:val="008D3810"/>
    <w:pPr>
      <w:outlineLvl w:val="3"/>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Pr>
      <w:sz w:val="20"/>
      <w:szCs w:val="20"/>
      <w:vertAlign w:val="superscript"/>
    </w:rPr>
  </w:style>
  <w:style w:type="paragraph" w:customStyle="1" w:styleId="0Textedebase">
    <w:name w:val="0 Texte de base"/>
    <w:basedOn w:val="Normal"/>
    <w:rsid w:val="00234621"/>
    <w:pPr>
      <w:jc w:val="both"/>
    </w:pPr>
  </w:style>
  <w:style w:type="paragraph" w:customStyle="1" w:styleId="1Premierretrait">
    <w:name w:val="1 Premier retrait"/>
    <w:basedOn w:val="0Textedebase"/>
    <w:rsid w:val="00234621"/>
    <w:pPr>
      <w:numPr>
        <w:numId w:val="21"/>
      </w:numPr>
      <w:spacing w:before="120"/>
    </w:pPr>
  </w:style>
  <w:style w:type="paragraph" w:customStyle="1" w:styleId="2Deuximeretrait">
    <w:name w:val="2 Deuxième retrait"/>
    <w:basedOn w:val="0Textedebase"/>
    <w:rsid w:val="00234621"/>
    <w:pPr>
      <w:numPr>
        <w:numId w:val="22"/>
      </w:numPr>
      <w:spacing w:before="120"/>
    </w:pPr>
  </w:style>
  <w:style w:type="paragraph" w:customStyle="1" w:styleId="3Troisimeretrait">
    <w:name w:val="3 Troisième retrait"/>
    <w:basedOn w:val="0Textedebase"/>
    <w:rsid w:val="00234621"/>
    <w:pPr>
      <w:numPr>
        <w:numId w:val="23"/>
      </w:numPr>
      <w:spacing w:before="120"/>
    </w:pPr>
  </w:style>
  <w:style w:type="paragraph" w:styleId="Textonotapie">
    <w:name w:val="footnote text"/>
    <w:basedOn w:val="Normal"/>
    <w:link w:val="TextonotapieCar"/>
    <w:uiPriority w:val="99"/>
    <w:semiHidden/>
    <w:rsid w:val="00ED6707"/>
    <w:pPr>
      <w:spacing w:line="240" w:lineRule="auto"/>
      <w:jc w:val="both"/>
    </w:pPr>
    <w:rPr>
      <w:sz w:val="18"/>
      <w:szCs w:val="18"/>
    </w:rPr>
  </w:style>
  <w:style w:type="paragraph" w:styleId="Piedepgina">
    <w:name w:val="footer"/>
    <w:basedOn w:val="Normal"/>
    <w:rsid w:val="009F110E"/>
    <w:pPr>
      <w:tabs>
        <w:tab w:val="center" w:pos="4536"/>
        <w:tab w:val="right" w:pos="9072"/>
      </w:tabs>
    </w:pPr>
  </w:style>
  <w:style w:type="paragraph" w:styleId="Encabezado">
    <w:name w:val="header"/>
    <w:basedOn w:val="Normal"/>
    <w:pPr>
      <w:tabs>
        <w:tab w:val="center" w:pos="4536"/>
        <w:tab w:val="right" w:pos="9072"/>
      </w:tabs>
    </w:pPr>
  </w:style>
  <w:style w:type="paragraph" w:styleId="Textonotaalfinal">
    <w:name w:val="endnote text"/>
    <w:basedOn w:val="Normal"/>
    <w:semiHidden/>
    <w:pPr>
      <w:spacing w:line="240" w:lineRule="auto"/>
      <w:ind w:left="284" w:hanging="284"/>
      <w:jc w:val="both"/>
    </w:pPr>
    <w:rPr>
      <w:sz w:val="18"/>
      <w:szCs w:val="18"/>
    </w:rPr>
  </w:style>
  <w:style w:type="character" w:styleId="Refdenotaalfinal">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Textodeglobo">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F14115"/>
    <w:pPr>
      <w:autoSpaceDE w:val="0"/>
      <w:autoSpaceDN w:val="0"/>
      <w:adjustRightInd w:val="0"/>
      <w:jc w:val="both"/>
    </w:pPr>
    <w:rPr>
      <w:rFonts w:cs="Arial"/>
    </w:r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table" w:styleId="Tablaconcuadrcula">
    <w:name w:val="Table Grid"/>
    <w:basedOn w:val="Tablanormal"/>
    <w:rsid w:val="003A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semiHidden/>
    <w:rsid w:val="003A33C5"/>
    <w:rPr>
      <w:rFonts w:ascii="Arial" w:hAnsi="Arial"/>
      <w:sz w:val="18"/>
      <w:szCs w:val="18"/>
      <w:lang w:val="es-UY"/>
    </w:rPr>
  </w:style>
  <w:style w:type="paragraph" w:styleId="Prrafodelista">
    <w:name w:val="List Paragraph"/>
    <w:basedOn w:val="Normal"/>
    <w:uiPriority w:val="34"/>
    <w:qFormat/>
    <w:rsid w:val="00E67A65"/>
    <w:pPr>
      <w:ind w:left="720"/>
      <w:contextualSpacing/>
    </w:pPr>
  </w:style>
  <w:style w:type="character" w:styleId="Hipervnculo">
    <w:name w:val="Hyperlink"/>
    <w:basedOn w:val="Fuentedeprrafopredeter"/>
    <w:unhideWhenUsed/>
    <w:rsid w:val="00840AFA"/>
    <w:rPr>
      <w:color w:val="auto"/>
      <w:u w:val="none"/>
    </w:rPr>
  </w:style>
  <w:style w:type="character" w:styleId="Hipervnculovisitado">
    <w:name w:val="FollowedHyperlink"/>
    <w:basedOn w:val="Fuentedeprrafopredeter"/>
    <w:semiHidden/>
    <w:unhideWhenUsed/>
    <w:rsid w:val="000E64FA"/>
    <w:rPr>
      <w:color w:val="800080" w:themeColor="followedHyperlink"/>
      <w:u w:val="single"/>
    </w:rPr>
  </w:style>
  <w:style w:type="paragraph" w:styleId="NormalWeb">
    <w:name w:val="Normal (Web)"/>
    <w:basedOn w:val="Normal"/>
    <w:uiPriority w:val="99"/>
    <w:unhideWhenUsed/>
    <w:rsid w:val="00134E0E"/>
    <w:pPr>
      <w:spacing w:before="100" w:beforeAutospacing="1" w:after="100" w:afterAutospacing="1" w:line="240" w:lineRule="auto"/>
    </w:pPr>
    <w:rPr>
      <w:rFonts w:ascii="Times New Roman" w:hAnsi="Times New Roman"/>
      <w:sz w:val="24"/>
      <w:szCs w:val="24"/>
      <w:lang w:eastAsia="en-US"/>
    </w:rPr>
  </w:style>
  <w:style w:type="paragraph" w:customStyle="1" w:styleId="isselectedend">
    <w:name w:val="isselectedend"/>
    <w:basedOn w:val="Normal"/>
    <w:rsid w:val="00134E0E"/>
    <w:pPr>
      <w:spacing w:before="100" w:beforeAutospacing="1" w:after="100" w:afterAutospacing="1" w:line="240" w:lineRule="auto"/>
    </w:pPr>
    <w:rPr>
      <w:rFonts w:ascii="Times New Roman" w:hAnsi="Times New Roman"/>
      <w:sz w:val="24"/>
      <w:szCs w:val="24"/>
      <w:lang w:eastAsia="en-US"/>
    </w:rPr>
  </w:style>
  <w:style w:type="character" w:styleId="Refdecomentario">
    <w:name w:val="annotation reference"/>
    <w:basedOn w:val="Fuentedeprrafopredeter"/>
    <w:semiHidden/>
    <w:unhideWhenUsed/>
    <w:rsid w:val="009E3C35"/>
    <w:rPr>
      <w:sz w:val="16"/>
      <w:szCs w:val="16"/>
    </w:rPr>
  </w:style>
  <w:style w:type="paragraph" w:styleId="Textocomentario">
    <w:name w:val="annotation text"/>
    <w:basedOn w:val="Normal"/>
    <w:link w:val="TextocomentarioCar"/>
    <w:semiHidden/>
    <w:unhideWhenUsed/>
    <w:rsid w:val="009E3C35"/>
    <w:pPr>
      <w:spacing w:line="240" w:lineRule="auto"/>
    </w:pPr>
  </w:style>
  <w:style w:type="character" w:customStyle="1" w:styleId="TextocomentarioCar">
    <w:name w:val="Texto comentario Car"/>
    <w:basedOn w:val="Fuentedeprrafopredeter"/>
    <w:link w:val="Textocomentario"/>
    <w:semiHidden/>
    <w:rsid w:val="009E3C35"/>
    <w:rPr>
      <w:rFonts w:ascii="Arial" w:hAnsi="Arial"/>
      <w:lang w:val="es-UY"/>
    </w:rPr>
  </w:style>
  <w:style w:type="paragraph" w:styleId="Asuntodelcomentario">
    <w:name w:val="annotation subject"/>
    <w:basedOn w:val="Textocomentario"/>
    <w:next w:val="Textocomentario"/>
    <w:link w:val="AsuntodelcomentarioCar"/>
    <w:semiHidden/>
    <w:unhideWhenUsed/>
    <w:rsid w:val="009E3C35"/>
    <w:rPr>
      <w:b/>
      <w:bCs/>
    </w:rPr>
  </w:style>
  <w:style w:type="character" w:customStyle="1" w:styleId="AsuntodelcomentarioCar">
    <w:name w:val="Asunto del comentario Car"/>
    <w:basedOn w:val="TextocomentarioCar"/>
    <w:link w:val="Asuntodelcomentario"/>
    <w:semiHidden/>
    <w:rsid w:val="009E3C35"/>
    <w:rPr>
      <w:rFonts w:ascii="Arial" w:hAnsi="Arial"/>
      <w:b/>
      <w:bCs/>
      <w:lang w:val="es-UY"/>
    </w:rPr>
  </w:style>
  <w:style w:type="character" w:styleId="Fuerte">
    <w:name w:val="Strong"/>
    <w:basedOn w:val="Fuentedeprrafopredeter"/>
    <w:uiPriority w:val="22"/>
    <w:qFormat/>
    <w:rsid w:val="00C06D93"/>
    <w:rPr>
      <w:b/>
      <w:bCs/>
    </w:rPr>
  </w:style>
  <w:style w:type="character" w:styleId="Mencinsinresolver">
    <w:name w:val="Unresolved Mention"/>
    <w:basedOn w:val="Fuentedeprrafopredeter"/>
    <w:uiPriority w:val="99"/>
    <w:semiHidden/>
    <w:unhideWhenUsed/>
    <w:rsid w:val="00C06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266794">
      <w:bodyDiv w:val="1"/>
      <w:marLeft w:val="0"/>
      <w:marRight w:val="0"/>
      <w:marTop w:val="0"/>
      <w:marBottom w:val="0"/>
      <w:divBdr>
        <w:top w:val="none" w:sz="0" w:space="0" w:color="auto"/>
        <w:left w:val="none" w:sz="0" w:space="0" w:color="auto"/>
        <w:bottom w:val="none" w:sz="0" w:space="0" w:color="auto"/>
        <w:right w:val="none" w:sz="0" w:space="0" w:color="auto"/>
      </w:divBdr>
    </w:div>
    <w:div w:id="11085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rveymonkey.com/r/DFS8SK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pinozav@up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keviciusv@upu.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8C4A1-F06E-44DD-B2BD-3712C44BFF62}">
  <ds:schemaRefs>
    <ds:schemaRef ds:uri="http://schemas.microsoft.com/sharepoint/v3/contenttype/forms"/>
  </ds:schemaRefs>
</ds:datastoreItem>
</file>

<file path=customXml/itemProps2.xml><?xml version="1.0" encoding="utf-8"?>
<ds:datastoreItem xmlns:ds="http://schemas.openxmlformats.org/officeDocument/2006/customXml" ds:itemID="{BDEA0B65-2ACB-4937-B906-9164F42B56CD}">
  <ds:schemaRefs>
    <ds:schemaRef ds:uri="http://schemas.microsoft.com/office/2006/metadata/properties"/>
    <ds:schemaRef ds:uri="http://schemas.microsoft.com/office/infopath/2007/PartnerControls"/>
    <ds:schemaRef ds:uri="1b36018e-1792-4f1e-a35b-ddb8e98b5beb"/>
    <ds:schemaRef ds:uri="56584740-1eeb-4c78-b35f-122b4f1bc138"/>
  </ds:schemaRefs>
</ds:datastoreItem>
</file>

<file path=customXml/itemProps3.xml><?xml version="1.0" encoding="utf-8"?>
<ds:datastoreItem xmlns:ds="http://schemas.openxmlformats.org/officeDocument/2006/customXml" ds:itemID="{2CF296CF-04A2-4177-8165-FEB323CDA669}">
  <ds:schemaRefs>
    <ds:schemaRef ds:uri="http://schemas.openxmlformats.org/officeDocument/2006/bibliography"/>
  </ds:schemaRefs>
</ds:datastoreItem>
</file>

<file path=customXml/itemProps4.xml><?xml version="1.0" encoding="utf-8"?>
<ds:datastoreItem xmlns:ds="http://schemas.openxmlformats.org/officeDocument/2006/customXml" ds:itemID="{C24DA45E-484F-4982-88BB-2BC2FD45042F}"/>
</file>

<file path=docProps/app.xml><?xml version="1.0" encoding="utf-8"?>
<Properties xmlns="http://schemas.openxmlformats.org/officeDocument/2006/extended-properties" xmlns:vt="http://schemas.openxmlformats.org/officeDocument/2006/docPropsVTypes">
  <Template>Normal</Template>
  <TotalTime>164</TotalTime>
  <Pages>6</Pages>
  <Words>1739</Words>
  <Characters>9235</Characters>
  <Application>Microsoft Office Word</Application>
  <DocSecurity>0</DocSecurity>
  <Lines>1539</Lines>
  <Paragraphs>1567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Notification of domestic tariffs and self-declared rates for parcel items with effect from 1 January 2027</vt:lpstr>
      <vt:lpstr>Notification of self-declared rates for E format letter-post items with effect from 1 January 2026</vt:lpstr>
    </vt:vector>
  </TitlesOfParts>
  <Company>Union postal universelle (UPU)</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domestic tariffs and self-declared rates for parcel items with effect from 1 January 2027</dc:title>
  <dc:creator>KAMMERMANN-JACKSON heather</dc:creator>
  <cp:lastModifiedBy>UPAEP - Mariana Cantoni</cp:lastModifiedBy>
  <cp:revision>20</cp:revision>
  <cp:lastPrinted>2026-03-25T10:26:00Z</cp:lastPrinted>
  <dcterms:created xsi:type="dcterms:W3CDTF">2026-03-25T17:18:00Z</dcterms:created>
  <dcterms:modified xsi:type="dcterms:W3CDTF">2026-03-27T14:48:00Z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5c205563-f550-4910-ad44-03b4ca23f993</vt:lpwstr>
  </property>
  <property fmtid="{D5CDD505-2E9C-101B-9397-08002B2CF9AE}" pid="4" name="GrammarlyDocumentId">
    <vt:lpwstr>6b59ec75210145e4a9cf2651bd17a015332bedf17af89b0a1a8ad911bf019c06</vt:lpwstr>
  </property>
</Properties>
</file>