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5AA77" w14:textId="120A3D2D" w:rsidR="008C2676" w:rsidRPr="00C80EBA" w:rsidRDefault="008C2676" w:rsidP="00A75615">
      <w:pPr>
        <w:spacing w:after="0" w:line="240" w:lineRule="atLeast"/>
        <w:jc w:val="both"/>
        <w:rPr>
          <w:rFonts w:ascii="Arial" w:hAnsi="Arial"/>
          <w:b/>
        </w:rPr>
      </w:pPr>
      <w:r w:rsidRPr="00C80EBA">
        <w:rPr>
          <w:rFonts w:ascii="Arial" w:hAnsi="Arial"/>
          <w:b/>
        </w:rPr>
        <w:t xml:space="preserve">Notification des </w:t>
      </w:r>
      <w:r w:rsidR="002A7342" w:rsidRPr="00C80EBA">
        <w:rPr>
          <w:rFonts w:ascii="Arial" w:hAnsi="Arial"/>
          <w:b/>
        </w:rPr>
        <w:t>tarifs</w:t>
      </w:r>
      <w:r w:rsidRPr="00C80EBA">
        <w:rPr>
          <w:rFonts w:ascii="Arial" w:hAnsi="Arial"/>
          <w:b/>
        </w:rPr>
        <w:t xml:space="preserve"> en vigueur au 1</w:t>
      </w:r>
      <w:r w:rsidRPr="00C80EBA">
        <w:rPr>
          <w:rFonts w:ascii="Arial" w:hAnsi="Arial"/>
          <w:b/>
          <w:vertAlign w:val="superscript"/>
        </w:rPr>
        <w:t>er</w:t>
      </w:r>
      <w:r w:rsidRPr="00C80EBA">
        <w:rPr>
          <w:rFonts w:ascii="Arial" w:hAnsi="Arial"/>
          <w:b/>
        </w:rPr>
        <w:t xml:space="preserve"> </w:t>
      </w:r>
      <w:r w:rsidR="003E1065" w:rsidRPr="00C80EBA">
        <w:rPr>
          <w:rFonts w:ascii="Arial" w:hAnsi="Arial"/>
          <w:b/>
        </w:rPr>
        <w:t>mai</w:t>
      </w:r>
      <w:r w:rsidRPr="00C80EBA">
        <w:rPr>
          <w:rFonts w:ascii="Arial" w:hAnsi="Arial"/>
          <w:b/>
        </w:rPr>
        <w:t xml:space="preserve"> </w:t>
      </w:r>
      <w:r w:rsidR="00FE03ED" w:rsidRPr="00C80EBA">
        <w:rPr>
          <w:rFonts w:ascii="Arial" w:hAnsi="Arial"/>
          <w:b/>
        </w:rPr>
        <w:t>202</w:t>
      </w:r>
      <w:r w:rsidR="00FE03ED">
        <w:rPr>
          <w:rFonts w:ascii="Arial" w:hAnsi="Arial"/>
          <w:b/>
        </w:rPr>
        <w:t>6</w:t>
      </w:r>
      <w:r w:rsidR="00FE03ED" w:rsidRPr="00C80EBA">
        <w:rPr>
          <w:rFonts w:ascii="Arial" w:hAnsi="Arial"/>
          <w:b/>
        </w:rPr>
        <w:t xml:space="preserve"> </w:t>
      </w:r>
      <w:r w:rsidRPr="00C80EBA">
        <w:rPr>
          <w:rFonts w:ascii="Arial" w:hAnsi="Arial"/>
          <w:b/>
        </w:rPr>
        <w:t xml:space="preserve">pour des envois prioritaires de la poste aux lettres de 20 grammes de petit format (P) et de 175 grammes de grand format (G) dans le régime intérieur, aux fins du calcul des taux de frais terminaux provisoires pour </w:t>
      </w:r>
      <w:r w:rsidR="00FE03ED" w:rsidRPr="00C80EBA">
        <w:rPr>
          <w:rFonts w:ascii="Arial" w:hAnsi="Arial"/>
          <w:b/>
        </w:rPr>
        <w:t>202</w:t>
      </w:r>
      <w:r w:rsidR="00FE03ED">
        <w:rPr>
          <w:rFonts w:ascii="Arial" w:hAnsi="Arial"/>
          <w:b/>
        </w:rPr>
        <w:t>7</w:t>
      </w:r>
    </w:p>
    <w:p w14:paraId="47C5AA78" w14:textId="1749A789" w:rsidR="00987C2D" w:rsidRPr="00E95959" w:rsidRDefault="00987C2D" w:rsidP="000D6979">
      <w:pPr>
        <w:spacing w:after="0" w:line="240" w:lineRule="auto"/>
        <w:jc w:val="both"/>
        <w:rPr>
          <w:rFonts w:ascii="Arial" w:hAnsi="Arial"/>
          <w:bCs/>
          <w:sz w:val="16"/>
          <w:szCs w:val="16"/>
        </w:rPr>
      </w:pPr>
    </w:p>
    <w:tbl>
      <w:tblPr>
        <w:tblStyle w:val="Grilledutableau"/>
        <w:tblW w:w="9639" w:type="dxa"/>
        <w:tblInd w:w="-5" w:type="dxa"/>
        <w:tblLook w:val="04A0" w:firstRow="1" w:lastRow="0" w:firstColumn="1" w:lastColumn="0" w:noHBand="0" w:noVBand="1"/>
      </w:tblPr>
      <w:tblGrid>
        <w:gridCol w:w="9639"/>
      </w:tblGrid>
      <w:tr w:rsidR="00115BF2" w:rsidRPr="00C80EBA" w14:paraId="47C5AA7A" w14:textId="77777777" w:rsidTr="00A11845">
        <w:trPr>
          <w:trHeight w:val="350"/>
        </w:trPr>
        <w:tc>
          <w:tcPr>
            <w:tcW w:w="9639" w:type="dxa"/>
            <w:vAlign w:val="center"/>
          </w:tcPr>
          <w:p w14:paraId="47C5AA79" w14:textId="3B623F53" w:rsidR="00987C2D" w:rsidRPr="00C80EBA" w:rsidRDefault="00FB237A" w:rsidP="00A11845">
            <w:pPr>
              <w:spacing w:before="60" w:after="60" w:line="240" w:lineRule="auto"/>
              <w:jc w:val="both"/>
              <w:rPr>
                <w:lang w:val="fr-CH"/>
              </w:rPr>
            </w:pPr>
            <w:proofErr w:type="gramStart"/>
            <w:r w:rsidRPr="00C80EBA">
              <w:rPr>
                <w:lang w:val="fr-CH"/>
              </w:rPr>
              <w:t>Remarque</w:t>
            </w:r>
            <w:r w:rsidR="00987C2D" w:rsidRPr="00C80EBA">
              <w:rPr>
                <w:lang w:val="fr-CH"/>
              </w:rPr>
              <w:t>:</w:t>
            </w:r>
            <w:proofErr w:type="gramEnd"/>
            <w:r w:rsidR="00987C2D" w:rsidRPr="00C80EBA">
              <w:rPr>
                <w:lang w:val="fr-CH"/>
              </w:rPr>
              <w:t xml:space="preserve"> les opérateurs désignés doivent compléter et renvoyer le présent questionnaire</w:t>
            </w:r>
            <w:r w:rsidR="00F4284D">
              <w:rPr>
                <w:lang w:val="fr-CH"/>
              </w:rPr>
              <w:t>.</w:t>
            </w:r>
          </w:p>
        </w:tc>
      </w:tr>
    </w:tbl>
    <w:p w14:paraId="47C5AA7B" w14:textId="77777777" w:rsidR="008C2676" w:rsidRPr="00E95959" w:rsidRDefault="008C2676" w:rsidP="000D6979">
      <w:pPr>
        <w:spacing w:after="0" w:line="240" w:lineRule="auto"/>
        <w:jc w:val="both"/>
        <w:rPr>
          <w:rFonts w:ascii="Arial" w:hAnsi="Arial"/>
          <w:bCs/>
          <w:sz w:val="16"/>
          <w:szCs w:val="16"/>
        </w:rPr>
      </w:pPr>
    </w:p>
    <w:p w14:paraId="0B992A65" w14:textId="25C92175" w:rsidR="00B232A0" w:rsidRPr="00F4284D" w:rsidRDefault="00C65469" w:rsidP="00B232A0">
      <w:pPr>
        <w:pStyle w:val="0Textedebase"/>
        <w:rPr>
          <w:rFonts w:cs="Arial"/>
          <w:lang w:val="fr-CH"/>
        </w:rPr>
      </w:pPr>
      <w:r w:rsidRPr="00F4284D">
        <w:rPr>
          <w:rFonts w:cs="Arial"/>
          <w:lang w:val="fr-CH"/>
        </w:rPr>
        <w:t xml:space="preserve">Les limites de taille et de poids pour les envois de petit </w:t>
      </w:r>
      <w:r w:rsidR="002A7342" w:rsidRPr="00F4284D">
        <w:rPr>
          <w:rFonts w:cs="Arial"/>
          <w:lang w:val="fr-CH"/>
        </w:rPr>
        <w:t xml:space="preserve">format </w:t>
      </w:r>
      <w:r w:rsidRPr="00F4284D">
        <w:rPr>
          <w:rFonts w:cs="Arial"/>
          <w:lang w:val="fr-CH"/>
        </w:rPr>
        <w:t xml:space="preserve">(P) et </w:t>
      </w:r>
      <w:r w:rsidR="002A7342" w:rsidRPr="00F4284D">
        <w:rPr>
          <w:rFonts w:cs="Arial"/>
          <w:lang w:val="fr-CH"/>
        </w:rPr>
        <w:t xml:space="preserve">de </w:t>
      </w:r>
      <w:r w:rsidRPr="00F4284D">
        <w:rPr>
          <w:rFonts w:cs="Arial"/>
          <w:lang w:val="fr-CH"/>
        </w:rPr>
        <w:t xml:space="preserve">grand </w:t>
      </w:r>
      <w:r w:rsidR="002A7342" w:rsidRPr="00F4284D">
        <w:rPr>
          <w:rFonts w:cs="Arial"/>
          <w:lang w:val="fr-CH"/>
        </w:rPr>
        <w:t xml:space="preserve">format </w:t>
      </w:r>
      <w:r w:rsidRPr="00F4284D">
        <w:rPr>
          <w:rFonts w:cs="Arial"/>
          <w:lang w:val="fr-CH"/>
        </w:rPr>
        <w:t>(G) doivent respecter les dispositions de l</w:t>
      </w:r>
      <w:r w:rsidR="00D671DB" w:rsidRPr="00F4284D">
        <w:rPr>
          <w:rFonts w:cs="Arial"/>
          <w:lang w:val="fr-CH"/>
        </w:rPr>
        <w:t>’</w:t>
      </w:r>
      <w:r w:rsidRPr="00F4284D">
        <w:rPr>
          <w:rFonts w:cs="Arial"/>
          <w:lang w:val="fr-CH"/>
        </w:rPr>
        <w:t>article 17-105 du Règlement</w:t>
      </w:r>
      <w:r w:rsidR="00FB1D93" w:rsidRPr="00F4284D">
        <w:rPr>
          <w:rFonts w:cs="Arial"/>
          <w:lang w:val="fr-CH"/>
        </w:rPr>
        <w:t xml:space="preserve"> de la Convention</w:t>
      </w:r>
      <w:r w:rsidRPr="00F4284D">
        <w:rPr>
          <w:rFonts w:cs="Arial"/>
          <w:lang w:val="fr-CH"/>
        </w:rPr>
        <w:t xml:space="preserve">. </w:t>
      </w:r>
      <w:r w:rsidR="00B232A0" w:rsidRPr="00F4284D">
        <w:rPr>
          <w:rFonts w:cs="Arial"/>
          <w:lang w:val="fr-CH"/>
        </w:rPr>
        <w:t>Conformément aux dispositions de l</w:t>
      </w:r>
      <w:r w:rsidR="00D671DB" w:rsidRPr="00F4284D">
        <w:rPr>
          <w:rFonts w:cs="Arial"/>
          <w:lang w:val="fr-CH"/>
        </w:rPr>
        <w:t>’</w:t>
      </w:r>
      <w:r w:rsidR="00B232A0" w:rsidRPr="00F4284D">
        <w:rPr>
          <w:rFonts w:cs="Arial"/>
          <w:lang w:val="fr-CH"/>
        </w:rPr>
        <w:t>article 31-102, lorsque les spécifications pour les envois définies aux articles 17-101 et 17-105 ne s</w:t>
      </w:r>
      <w:r w:rsidR="00D671DB" w:rsidRPr="00F4284D">
        <w:rPr>
          <w:rFonts w:cs="Arial"/>
          <w:lang w:val="fr-CH"/>
        </w:rPr>
        <w:t>’</w:t>
      </w:r>
      <w:r w:rsidR="00B232A0" w:rsidRPr="00F4284D">
        <w:rPr>
          <w:rFonts w:cs="Arial"/>
          <w:lang w:val="fr-CH"/>
        </w:rPr>
        <w:t>appliquent pas dans le régime intérieur d</w:t>
      </w:r>
      <w:r w:rsidR="00D671DB" w:rsidRPr="00F4284D">
        <w:rPr>
          <w:rFonts w:cs="Arial"/>
          <w:lang w:val="fr-CH"/>
        </w:rPr>
        <w:t>’</w:t>
      </w:r>
      <w:r w:rsidR="00B232A0" w:rsidRPr="00F4284D">
        <w:rPr>
          <w:rFonts w:cs="Arial"/>
          <w:lang w:val="fr-CH"/>
        </w:rPr>
        <w:t>un pays donné, la taxe appliquée à l</w:t>
      </w:r>
      <w:r w:rsidR="00D671DB" w:rsidRPr="00F4284D">
        <w:rPr>
          <w:rFonts w:cs="Arial"/>
          <w:lang w:val="fr-CH"/>
        </w:rPr>
        <w:t>’</w:t>
      </w:r>
      <w:r w:rsidR="00B232A0" w:rsidRPr="00F4284D">
        <w:rPr>
          <w:rFonts w:cs="Arial"/>
          <w:lang w:val="fr-CH"/>
        </w:rPr>
        <w:t>envoi dont les spécifications sont les plus proches de celles de l</w:t>
      </w:r>
      <w:r w:rsidR="00D671DB" w:rsidRPr="00F4284D">
        <w:rPr>
          <w:rFonts w:cs="Arial"/>
          <w:lang w:val="fr-CH"/>
        </w:rPr>
        <w:t>’</w:t>
      </w:r>
      <w:r w:rsidR="00B232A0" w:rsidRPr="00F4284D">
        <w:rPr>
          <w:rFonts w:cs="Arial"/>
          <w:lang w:val="fr-CH"/>
        </w:rPr>
        <w:t>envoi concerné est retenue, le format étant pris en considération avant le poids comme critère déterminant.</w:t>
      </w:r>
    </w:p>
    <w:p w14:paraId="47C5AA7E" w14:textId="02C219DB" w:rsidR="00C65469" w:rsidRPr="00E95959" w:rsidRDefault="00C65469" w:rsidP="00E95959">
      <w:pPr>
        <w:spacing w:after="0" w:line="240" w:lineRule="auto"/>
        <w:jc w:val="both"/>
        <w:rPr>
          <w:rFonts w:ascii="Arial" w:hAnsi="Arial"/>
          <w:bCs/>
          <w:sz w:val="16"/>
          <w:szCs w:val="16"/>
        </w:rPr>
      </w:pPr>
    </w:p>
    <w:p w14:paraId="2B6EE2D4" w14:textId="41178FDD" w:rsidR="00B232A0" w:rsidRPr="00F4284D" w:rsidRDefault="00B232A0" w:rsidP="00B232A0">
      <w:pPr>
        <w:pStyle w:val="0Textedebase"/>
        <w:rPr>
          <w:rFonts w:cs="Arial"/>
          <w:bCs/>
          <w:lang w:val="fr-CH"/>
        </w:rPr>
      </w:pPr>
      <w:r w:rsidRPr="00F4284D">
        <w:rPr>
          <w:rFonts w:cs="Arial"/>
          <w:bCs/>
          <w:lang w:val="fr-CH"/>
        </w:rPr>
        <w:t xml:space="preserve">La version électronique </w:t>
      </w:r>
      <w:r w:rsidR="00907ADD" w:rsidRPr="00F4284D">
        <w:rPr>
          <w:rFonts w:cs="Arial"/>
          <w:bCs/>
          <w:lang w:val="fr-CH"/>
        </w:rPr>
        <w:t xml:space="preserve">de ce </w:t>
      </w:r>
      <w:r w:rsidRPr="00F4284D">
        <w:rPr>
          <w:rFonts w:cs="Arial"/>
          <w:bCs/>
          <w:lang w:val="fr-CH"/>
        </w:rPr>
        <w:t xml:space="preserve">questionnaire est disponible </w:t>
      </w:r>
      <w:r w:rsidR="00907ADD" w:rsidRPr="00F4284D">
        <w:rPr>
          <w:rFonts w:cs="Arial"/>
          <w:bCs/>
          <w:lang w:val="fr-CH"/>
        </w:rPr>
        <w:t>en ligne (</w:t>
      </w:r>
      <w:hyperlink r:id="rId11" w:history="1">
        <w:r w:rsidR="00907ADD" w:rsidRPr="00F4284D">
          <w:rPr>
            <w:rStyle w:val="Lienhypertexte"/>
            <w:rFonts w:cs="Arial"/>
            <w:bCs/>
            <w:lang w:val="fr-CH"/>
          </w:rPr>
          <w:t>www.surveymonkey.com/r/B3833CL</w:t>
        </w:r>
      </w:hyperlink>
      <w:r w:rsidR="00907ADD" w:rsidRPr="00F4284D">
        <w:rPr>
          <w:rStyle w:val="Lienhypertexte"/>
          <w:rFonts w:cs="Arial"/>
          <w:bCs/>
          <w:lang w:val="fr-CH"/>
        </w:rPr>
        <w:t>).</w:t>
      </w:r>
    </w:p>
    <w:p w14:paraId="5800B9C1" w14:textId="77777777" w:rsidR="00B232A0" w:rsidRPr="00E95959" w:rsidRDefault="00B232A0" w:rsidP="00E95959">
      <w:pPr>
        <w:spacing w:after="0" w:line="240" w:lineRule="auto"/>
        <w:jc w:val="both"/>
        <w:rPr>
          <w:rFonts w:ascii="Arial" w:hAnsi="Arial"/>
          <w:bCs/>
          <w:sz w:val="16"/>
          <w:szCs w:val="16"/>
        </w:rPr>
      </w:pPr>
    </w:p>
    <w:p w14:paraId="2EE2F9AE" w14:textId="57D358EE" w:rsidR="00B232A0" w:rsidRPr="00F4284D" w:rsidRDefault="00B232A0" w:rsidP="00B232A0">
      <w:pPr>
        <w:pStyle w:val="0Textedebase"/>
        <w:rPr>
          <w:rFonts w:cs="Arial"/>
          <w:b/>
          <w:bCs/>
          <w:lang w:val="fr-CH"/>
        </w:rPr>
      </w:pPr>
      <w:r w:rsidRPr="00F4284D">
        <w:rPr>
          <w:rFonts w:cs="Arial"/>
          <w:bCs/>
          <w:lang w:val="fr-CH"/>
        </w:rPr>
        <w:t xml:space="preserve">Veuillez noter que les opérateurs désignés qui soumettent leur notification par </w:t>
      </w:r>
      <w:proofErr w:type="spellStart"/>
      <w:r w:rsidRPr="00F4284D">
        <w:rPr>
          <w:rFonts w:cs="Arial"/>
          <w:bCs/>
          <w:lang w:val="fr-CH"/>
        </w:rPr>
        <w:t>SurveyMonkey</w:t>
      </w:r>
      <w:proofErr w:type="spellEnd"/>
      <w:r w:rsidRPr="00F4284D">
        <w:rPr>
          <w:rFonts w:cs="Arial"/>
          <w:bCs/>
          <w:lang w:val="fr-CH"/>
        </w:rPr>
        <w:t xml:space="preserve"> n</w:t>
      </w:r>
      <w:r w:rsidR="00D671DB" w:rsidRPr="00F4284D">
        <w:rPr>
          <w:rFonts w:cs="Arial"/>
          <w:bCs/>
          <w:lang w:val="fr-CH"/>
        </w:rPr>
        <w:t>’</w:t>
      </w:r>
      <w:r w:rsidRPr="00F4284D">
        <w:rPr>
          <w:rFonts w:cs="Arial"/>
          <w:bCs/>
          <w:lang w:val="fr-CH"/>
        </w:rPr>
        <w:t>ont pas besoin de renvoyer les formules au format Word par courrier électronique</w:t>
      </w:r>
      <w:r w:rsidRPr="00F4284D">
        <w:rPr>
          <w:rFonts w:cs="Arial"/>
          <w:b/>
          <w:lang w:val="fr-CH"/>
        </w:rPr>
        <w:t>.</w:t>
      </w:r>
    </w:p>
    <w:p w14:paraId="47C5AA7F" w14:textId="77777777" w:rsidR="008C2676" w:rsidRPr="00E95959" w:rsidRDefault="008C2676" w:rsidP="000D6979">
      <w:pPr>
        <w:spacing w:after="0" w:line="240" w:lineRule="auto"/>
        <w:jc w:val="both"/>
        <w:rPr>
          <w:rFonts w:ascii="Arial" w:hAnsi="Arial"/>
          <w:bCs/>
          <w:sz w:val="16"/>
          <w:szCs w:val="16"/>
        </w:rPr>
      </w:pPr>
    </w:p>
    <w:p w14:paraId="47C5AA80" w14:textId="77F13BAC" w:rsidR="00044FE3" w:rsidRPr="00F4284D" w:rsidRDefault="00044FE3" w:rsidP="00A75615">
      <w:pPr>
        <w:spacing w:after="0" w:line="240" w:lineRule="atLeast"/>
        <w:jc w:val="both"/>
        <w:rPr>
          <w:rFonts w:ascii="Arial" w:hAnsi="Arial"/>
        </w:rPr>
      </w:pPr>
      <w:r w:rsidRPr="00F4284D">
        <w:rPr>
          <w:rFonts w:ascii="Arial" w:hAnsi="Arial"/>
          <w:spacing w:val="-2"/>
        </w:rPr>
        <w:t>Le</w:t>
      </w:r>
      <w:r w:rsidR="00FE03ED" w:rsidRPr="00F4284D">
        <w:rPr>
          <w:rFonts w:ascii="Arial" w:hAnsi="Arial"/>
          <w:spacing w:val="-2"/>
        </w:rPr>
        <w:t>s opérateurs désignés dans l</w:t>
      </w:r>
      <w:r w:rsidR="00D671DB" w:rsidRPr="00F4284D">
        <w:rPr>
          <w:rFonts w:ascii="Arial" w:hAnsi="Arial"/>
          <w:spacing w:val="-2"/>
        </w:rPr>
        <w:t>’</w:t>
      </w:r>
      <w:r w:rsidR="00FE03ED" w:rsidRPr="00F4284D">
        <w:rPr>
          <w:rFonts w:ascii="Arial" w:hAnsi="Arial"/>
          <w:spacing w:val="-2"/>
        </w:rPr>
        <w:t>incapacité d</w:t>
      </w:r>
      <w:r w:rsidR="00D671DB" w:rsidRPr="00F4284D">
        <w:rPr>
          <w:rFonts w:ascii="Arial" w:hAnsi="Arial"/>
          <w:spacing w:val="-2"/>
        </w:rPr>
        <w:t>’</w:t>
      </w:r>
      <w:r w:rsidR="00FE03ED" w:rsidRPr="00F4284D">
        <w:rPr>
          <w:rFonts w:ascii="Arial" w:hAnsi="Arial"/>
          <w:spacing w:val="-2"/>
        </w:rPr>
        <w:t xml:space="preserve">accéder au </w:t>
      </w:r>
      <w:proofErr w:type="spellStart"/>
      <w:r w:rsidR="00FE03ED" w:rsidRPr="00F4284D">
        <w:rPr>
          <w:rFonts w:ascii="Arial" w:hAnsi="Arial"/>
          <w:spacing w:val="-2"/>
        </w:rPr>
        <w:t>SurveyMonkey</w:t>
      </w:r>
      <w:proofErr w:type="spellEnd"/>
      <w:r w:rsidR="00FE03ED" w:rsidRPr="00F4284D">
        <w:rPr>
          <w:rFonts w:ascii="Arial" w:hAnsi="Arial"/>
          <w:spacing w:val="-2"/>
        </w:rPr>
        <w:t xml:space="preserve"> sont priés de remplir et de renvoyer </w:t>
      </w:r>
      <w:r w:rsidR="00F4284D">
        <w:rPr>
          <w:rFonts w:ascii="Arial" w:hAnsi="Arial"/>
          <w:spacing w:val="-2"/>
        </w:rPr>
        <w:t>ce</w:t>
      </w:r>
      <w:r w:rsidR="008C2676" w:rsidRPr="00F4284D">
        <w:rPr>
          <w:rFonts w:ascii="Arial" w:hAnsi="Arial"/>
          <w:spacing w:val="-2"/>
        </w:rPr>
        <w:t xml:space="preserve"> questionnaire, sans lettre de couverture,</w:t>
      </w:r>
      <w:r w:rsidR="008C2676" w:rsidRPr="00F4284D">
        <w:rPr>
          <w:rFonts w:ascii="Arial" w:hAnsi="Arial"/>
          <w:b/>
          <w:spacing w:val="-2"/>
        </w:rPr>
        <w:t xml:space="preserve"> </w:t>
      </w:r>
      <w:r w:rsidR="00FB1D93" w:rsidRPr="00F4284D">
        <w:rPr>
          <w:rFonts w:ascii="Arial" w:hAnsi="Arial"/>
          <w:b/>
          <w:spacing w:val="-2"/>
        </w:rPr>
        <w:t>le 1</w:t>
      </w:r>
      <w:r w:rsidR="00FB1D93" w:rsidRPr="00F4284D">
        <w:rPr>
          <w:rFonts w:ascii="Arial" w:hAnsi="Arial"/>
          <w:b/>
          <w:spacing w:val="-2"/>
          <w:vertAlign w:val="superscript"/>
        </w:rPr>
        <w:t>er</w:t>
      </w:r>
      <w:r w:rsidR="00FB1D93" w:rsidRPr="00F4284D">
        <w:rPr>
          <w:rFonts w:ascii="Arial" w:hAnsi="Arial"/>
          <w:b/>
          <w:spacing w:val="-2"/>
        </w:rPr>
        <w:t xml:space="preserve"> </w:t>
      </w:r>
      <w:r w:rsidR="003E1065" w:rsidRPr="00F4284D">
        <w:rPr>
          <w:rFonts w:ascii="Arial" w:hAnsi="Arial"/>
          <w:b/>
          <w:spacing w:val="-2"/>
        </w:rPr>
        <w:t>mai</w:t>
      </w:r>
      <w:r w:rsidR="00FB1D93" w:rsidRPr="00F4284D">
        <w:rPr>
          <w:rFonts w:ascii="Arial" w:hAnsi="Arial"/>
          <w:b/>
        </w:rPr>
        <w:t xml:space="preserve"> </w:t>
      </w:r>
      <w:r w:rsidR="00FE03ED" w:rsidRPr="00F4284D">
        <w:rPr>
          <w:rFonts w:ascii="Arial" w:hAnsi="Arial"/>
          <w:b/>
        </w:rPr>
        <w:t xml:space="preserve">2026 </w:t>
      </w:r>
      <w:r w:rsidR="008C2676" w:rsidRPr="00F4284D">
        <w:rPr>
          <w:rFonts w:ascii="Arial" w:hAnsi="Arial"/>
          <w:b/>
        </w:rPr>
        <w:t>au plus tard</w:t>
      </w:r>
      <w:r w:rsidR="008C2676" w:rsidRPr="00F4284D">
        <w:rPr>
          <w:rFonts w:ascii="Arial" w:hAnsi="Arial"/>
          <w:b/>
          <w:bCs/>
        </w:rPr>
        <w:t>,</w:t>
      </w:r>
      <w:r w:rsidR="008C2676" w:rsidRPr="00F4284D">
        <w:rPr>
          <w:rFonts w:ascii="Arial" w:hAnsi="Arial"/>
        </w:rPr>
        <w:t xml:space="preserve"> </w:t>
      </w:r>
      <w:r w:rsidR="0020457D" w:rsidRPr="00F4284D">
        <w:rPr>
          <w:rFonts w:ascii="Arial" w:hAnsi="Arial"/>
        </w:rPr>
        <w:t xml:space="preserve">par courrier électronique </w:t>
      </w:r>
      <w:r w:rsidR="008C2676" w:rsidRPr="00F4284D">
        <w:rPr>
          <w:rFonts w:ascii="Arial" w:hAnsi="Arial"/>
        </w:rPr>
        <w:t xml:space="preserve">à </w:t>
      </w:r>
      <w:r w:rsidR="00A75615" w:rsidRPr="00F4284D">
        <w:rPr>
          <w:rFonts w:ascii="Arial" w:hAnsi="Arial"/>
          <w:lang w:val="fr-CH" w:eastAsia="fr-CH" w:bidi="ar-SA"/>
        </w:rPr>
        <w:t>Vytis Staskevicius (</w:t>
      </w:r>
      <w:hyperlink r:id="rId12" w:history="1">
        <w:r w:rsidR="00907ADD" w:rsidRPr="00F4284D">
          <w:rPr>
            <w:rStyle w:val="Lienhypertexte"/>
            <w:lang w:val="fr-CH" w:eastAsia="fr-CH" w:bidi="ar-SA"/>
          </w:rPr>
          <w:t>staskeviciusv@upu.int</w:t>
        </w:r>
      </w:hyperlink>
      <w:r w:rsidR="00A75615" w:rsidRPr="00F4284D">
        <w:rPr>
          <w:rFonts w:ascii="Arial" w:hAnsi="Arial"/>
          <w:lang w:val="fr-CH" w:eastAsia="fr-CH" w:bidi="ar-SA"/>
        </w:rPr>
        <w:t>) et à Virginia Espinoza (</w:t>
      </w:r>
      <w:hyperlink r:id="rId13" w:history="1">
        <w:r w:rsidR="00907ADD" w:rsidRPr="00F4284D">
          <w:rPr>
            <w:rStyle w:val="Lienhypertexte"/>
            <w:lang w:val="fr-CH" w:eastAsia="fr-CH" w:bidi="ar-SA"/>
          </w:rPr>
          <w:t>espinozav@upu.int</w:t>
        </w:r>
      </w:hyperlink>
      <w:r w:rsidR="00A75615" w:rsidRPr="00F4284D">
        <w:rPr>
          <w:rFonts w:ascii="Arial" w:hAnsi="Arial"/>
          <w:lang w:val="fr-CH" w:eastAsia="fr-CH" w:bidi="ar-SA"/>
        </w:rPr>
        <w:t>)</w:t>
      </w:r>
      <w:r w:rsidR="005C4EF2" w:rsidRPr="00F4284D">
        <w:rPr>
          <w:rFonts w:ascii="Arial" w:hAnsi="Arial"/>
        </w:rPr>
        <w:t xml:space="preserve">, </w:t>
      </w:r>
      <w:r w:rsidRPr="00F4284D">
        <w:rPr>
          <w:rFonts w:ascii="Arial" w:hAnsi="Arial"/>
        </w:rPr>
        <w:t>ou à l</w:t>
      </w:r>
      <w:r w:rsidR="00D671DB" w:rsidRPr="00F4284D">
        <w:rPr>
          <w:rFonts w:ascii="Arial" w:hAnsi="Arial"/>
        </w:rPr>
        <w:t>’</w:t>
      </w:r>
      <w:r w:rsidRPr="00F4284D">
        <w:rPr>
          <w:rFonts w:ascii="Arial" w:hAnsi="Arial"/>
        </w:rPr>
        <w:t>adresse suivante:</w:t>
      </w:r>
    </w:p>
    <w:p w14:paraId="65BDB4FB" w14:textId="77777777" w:rsidR="00A75615" w:rsidRPr="00F4284D" w:rsidRDefault="00A75615" w:rsidP="00E95959">
      <w:pPr>
        <w:spacing w:before="80" w:after="0" w:line="240" w:lineRule="atLeast"/>
        <w:jc w:val="both"/>
        <w:rPr>
          <w:rFonts w:ascii="Arial" w:hAnsi="Arial"/>
          <w:lang w:val="fr-CH" w:eastAsia="fr-CH" w:bidi="ar-SA"/>
        </w:rPr>
      </w:pPr>
      <w:r w:rsidRPr="00F4284D">
        <w:rPr>
          <w:rFonts w:ascii="Arial" w:hAnsi="Arial"/>
          <w:lang w:val="fr-CH" w:eastAsia="fr-CH" w:bidi="ar-SA"/>
        </w:rPr>
        <w:t>Vytis Staskevicius</w:t>
      </w:r>
    </w:p>
    <w:p w14:paraId="47C5AA83" w14:textId="39D4F639" w:rsidR="00044FE3" w:rsidRPr="00F4284D" w:rsidRDefault="00044FE3" w:rsidP="00A75615">
      <w:pPr>
        <w:spacing w:after="0" w:line="240" w:lineRule="atLeast"/>
        <w:rPr>
          <w:rFonts w:ascii="Arial" w:hAnsi="Arial"/>
        </w:rPr>
      </w:pPr>
      <w:r w:rsidRPr="00F4284D">
        <w:rPr>
          <w:rFonts w:ascii="Arial" w:hAnsi="Arial"/>
        </w:rPr>
        <w:t>Expert «Développement de la rémunération»</w:t>
      </w:r>
    </w:p>
    <w:p w14:paraId="47C5AA84" w14:textId="77777777" w:rsidR="00C65469" w:rsidRPr="00F4284D" w:rsidRDefault="00C65469" w:rsidP="00C65469">
      <w:pPr>
        <w:spacing w:after="0" w:line="240" w:lineRule="atLeast"/>
        <w:rPr>
          <w:rFonts w:ascii="Arial" w:hAnsi="Arial"/>
        </w:rPr>
      </w:pPr>
      <w:r w:rsidRPr="00F4284D">
        <w:rPr>
          <w:rFonts w:ascii="Arial" w:hAnsi="Arial"/>
        </w:rPr>
        <w:t>Direction des politiques, de la régulation et des marchés</w:t>
      </w:r>
    </w:p>
    <w:p w14:paraId="47C5AA85" w14:textId="06F9AE4C" w:rsidR="008C2676" w:rsidRPr="00F4284D" w:rsidRDefault="0020457D" w:rsidP="0020457D">
      <w:pPr>
        <w:spacing w:after="0" w:line="240" w:lineRule="atLeast"/>
        <w:jc w:val="both"/>
        <w:rPr>
          <w:rFonts w:ascii="Arial" w:hAnsi="Arial" w:cs="Arial"/>
        </w:rPr>
      </w:pPr>
      <w:r w:rsidRPr="00F4284D">
        <w:rPr>
          <w:rFonts w:ascii="Arial" w:hAnsi="Arial"/>
        </w:rPr>
        <w:t>Bureau international de l</w:t>
      </w:r>
      <w:r w:rsidR="00D671DB" w:rsidRPr="00F4284D">
        <w:rPr>
          <w:rFonts w:ascii="Arial" w:hAnsi="Arial"/>
        </w:rPr>
        <w:t>’</w:t>
      </w:r>
      <w:r w:rsidRPr="00F4284D">
        <w:rPr>
          <w:rFonts w:ascii="Arial" w:hAnsi="Arial"/>
        </w:rPr>
        <w:t>UPU</w:t>
      </w:r>
    </w:p>
    <w:p w14:paraId="47C5AA86" w14:textId="77777777" w:rsidR="004B6E0F" w:rsidRPr="00F4284D" w:rsidRDefault="004B6E0F" w:rsidP="0020457D">
      <w:pPr>
        <w:spacing w:after="0" w:line="240" w:lineRule="atLeast"/>
        <w:jc w:val="both"/>
        <w:rPr>
          <w:rFonts w:ascii="Arial" w:hAnsi="Arial"/>
        </w:rPr>
      </w:pPr>
      <w:r w:rsidRPr="00F4284D">
        <w:rPr>
          <w:rFonts w:ascii="Arial" w:hAnsi="Arial"/>
        </w:rPr>
        <w:t>Weltpoststrasse 4</w:t>
      </w:r>
    </w:p>
    <w:p w14:paraId="47C5AA87" w14:textId="77777777" w:rsidR="008C2676" w:rsidRPr="00F4284D" w:rsidRDefault="008C2676" w:rsidP="0020457D">
      <w:pPr>
        <w:spacing w:after="0" w:line="240" w:lineRule="atLeast"/>
        <w:jc w:val="both"/>
        <w:rPr>
          <w:rFonts w:ascii="Arial" w:hAnsi="Arial" w:cs="Arial"/>
        </w:rPr>
      </w:pPr>
      <w:r w:rsidRPr="00F4284D">
        <w:rPr>
          <w:rFonts w:ascii="Arial" w:hAnsi="Arial"/>
        </w:rPr>
        <w:t>30</w:t>
      </w:r>
      <w:r w:rsidR="0020457D" w:rsidRPr="00F4284D">
        <w:rPr>
          <w:rFonts w:ascii="Arial" w:hAnsi="Arial"/>
        </w:rPr>
        <w:t>15 BERNE</w:t>
      </w:r>
    </w:p>
    <w:p w14:paraId="47C5AA88" w14:textId="77777777" w:rsidR="008C2676" w:rsidRPr="00F4284D" w:rsidRDefault="008C2676" w:rsidP="008C2676">
      <w:pPr>
        <w:spacing w:after="0" w:line="240" w:lineRule="atLeast"/>
        <w:jc w:val="both"/>
        <w:rPr>
          <w:rFonts w:ascii="Arial" w:hAnsi="Arial" w:cs="Arial"/>
        </w:rPr>
      </w:pPr>
      <w:r w:rsidRPr="00F4284D">
        <w:rPr>
          <w:rFonts w:ascii="Arial" w:hAnsi="Arial"/>
        </w:rPr>
        <w:t>SUISSE</w:t>
      </w:r>
    </w:p>
    <w:p w14:paraId="47C5AA89" w14:textId="77777777" w:rsidR="008C2676" w:rsidRPr="00E95959" w:rsidRDefault="008C2676" w:rsidP="00E95959">
      <w:pPr>
        <w:spacing w:after="0" w:line="240" w:lineRule="auto"/>
        <w:jc w:val="both"/>
        <w:rPr>
          <w:rFonts w:ascii="Arial" w:hAnsi="Arial"/>
          <w:bCs/>
          <w:sz w:val="16"/>
          <w:szCs w:val="16"/>
        </w:rPr>
      </w:pPr>
    </w:p>
    <w:p w14:paraId="268AB117" w14:textId="14B2B097" w:rsidR="00DE7E2D" w:rsidRPr="00C80EBA" w:rsidRDefault="00DE7E2D" w:rsidP="00F60EFE">
      <w:pPr>
        <w:pStyle w:val="1Premierretrait"/>
        <w:tabs>
          <w:tab w:val="clear" w:pos="567"/>
        </w:tabs>
        <w:spacing w:before="0"/>
        <w:ind w:left="0" w:firstLine="0"/>
        <w:rPr>
          <w:rFonts w:cs="Arial"/>
        </w:rPr>
      </w:pPr>
      <w:r w:rsidRPr="00F4284D">
        <w:rPr>
          <w:rFonts w:cs="Arial"/>
        </w:rPr>
        <w:t>Les opérateurs désignés doivent indiquer une source permettant de vérifier toutes les informations fournies.</w:t>
      </w:r>
      <w:r w:rsidR="0060162D" w:rsidRPr="00F4284D">
        <w:rPr>
          <w:rFonts w:cs="Arial"/>
        </w:rPr>
        <w:t xml:space="preserve"> </w:t>
      </w:r>
      <w:r w:rsidR="00F4284D">
        <w:rPr>
          <w:rFonts w:cs="Arial"/>
        </w:rPr>
        <w:t>Elle</w:t>
      </w:r>
      <w:r w:rsidR="0060162D" w:rsidRPr="00F4284D">
        <w:rPr>
          <w:rFonts w:cs="Arial"/>
        </w:rPr>
        <w:t xml:space="preserve"> peut prendre la forme d</w:t>
      </w:r>
      <w:r w:rsidR="00D671DB" w:rsidRPr="00F4284D">
        <w:rPr>
          <w:rFonts w:cs="Arial"/>
        </w:rPr>
        <w:t>’</w:t>
      </w:r>
      <w:r w:rsidR="0060162D" w:rsidRPr="00F4284D">
        <w:rPr>
          <w:rFonts w:cs="Arial"/>
        </w:rPr>
        <w:t>un site Web en libre accès sur lequel les informations tarifaires et les spécifications de service sont clairement publiées, d</w:t>
      </w:r>
      <w:r w:rsidR="00D671DB" w:rsidRPr="00F4284D">
        <w:rPr>
          <w:rFonts w:cs="Arial"/>
        </w:rPr>
        <w:t>’</w:t>
      </w:r>
      <w:r w:rsidR="0060162D" w:rsidRPr="00F4284D">
        <w:rPr>
          <w:rFonts w:cs="Arial"/>
        </w:rPr>
        <w:t>informations publiées dans une brochure relative aux produits, de lois ou de règles applicables au domaine postal, ou d</w:t>
      </w:r>
      <w:r w:rsidR="00D671DB" w:rsidRPr="00F4284D">
        <w:rPr>
          <w:rFonts w:cs="Arial"/>
        </w:rPr>
        <w:t>’</w:t>
      </w:r>
      <w:r w:rsidR="0060162D" w:rsidRPr="00F4284D">
        <w:rPr>
          <w:rFonts w:cs="Arial"/>
        </w:rPr>
        <w:t>une confirmation écrite de l</w:t>
      </w:r>
      <w:r w:rsidR="00D671DB" w:rsidRPr="00F4284D">
        <w:rPr>
          <w:rFonts w:cs="Arial"/>
        </w:rPr>
        <w:t>’</w:t>
      </w:r>
      <w:r w:rsidR="0060162D" w:rsidRPr="00F4284D">
        <w:rPr>
          <w:rFonts w:cs="Arial"/>
        </w:rPr>
        <w:t>autorité de régulation.</w:t>
      </w:r>
      <w:r w:rsidR="00874CC2" w:rsidRPr="00F4284D">
        <w:rPr>
          <w:rFonts w:cs="Arial"/>
        </w:rPr>
        <w:t xml:space="preserve"> </w:t>
      </w:r>
      <w:r w:rsidR="00B232A0" w:rsidRPr="00F4284D">
        <w:rPr>
          <w:rFonts w:cs="Arial"/>
        </w:rPr>
        <w:t>Une copie d</w:t>
      </w:r>
      <w:r w:rsidR="00D671DB" w:rsidRPr="00F4284D">
        <w:rPr>
          <w:rFonts w:cs="Arial"/>
        </w:rPr>
        <w:t>’</w:t>
      </w:r>
      <w:r w:rsidR="00B232A0" w:rsidRPr="00F4284D">
        <w:rPr>
          <w:rFonts w:cs="Arial"/>
        </w:rPr>
        <w:t xml:space="preserve">écran des informations tarifaires disponibles sur un site </w:t>
      </w:r>
      <w:r w:rsidR="00907ADD" w:rsidRPr="00F4284D">
        <w:rPr>
          <w:rFonts w:cs="Arial"/>
        </w:rPr>
        <w:t xml:space="preserve">Web </w:t>
      </w:r>
      <w:r w:rsidR="00B232A0" w:rsidRPr="00F4284D">
        <w:rPr>
          <w:rFonts w:cs="Arial"/>
        </w:rPr>
        <w:t>de l</w:t>
      </w:r>
      <w:r w:rsidR="00D671DB" w:rsidRPr="00F4284D">
        <w:rPr>
          <w:rFonts w:cs="Arial"/>
        </w:rPr>
        <w:t>’</w:t>
      </w:r>
      <w:r w:rsidR="00B232A0" w:rsidRPr="00F4284D">
        <w:rPr>
          <w:rFonts w:cs="Arial"/>
        </w:rPr>
        <w:t xml:space="preserve">opérateur désigné devrait </w:t>
      </w:r>
      <w:r w:rsidR="00F4284D">
        <w:rPr>
          <w:rFonts w:cs="Arial"/>
        </w:rPr>
        <w:t>aussi</w:t>
      </w:r>
      <w:r w:rsidR="00B232A0" w:rsidRPr="00F4284D">
        <w:rPr>
          <w:rFonts w:cs="Arial"/>
        </w:rPr>
        <w:t xml:space="preserve"> être trans</w:t>
      </w:r>
      <w:r w:rsidR="00F4284D">
        <w:rPr>
          <w:rFonts w:cs="Arial"/>
        </w:rPr>
        <w:softHyphen/>
      </w:r>
      <w:r w:rsidR="00B232A0" w:rsidRPr="00F4284D">
        <w:rPr>
          <w:rFonts w:cs="Arial"/>
        </w:rPr>
        <w:t>mise en plus de la source pour vérification (si disponible).</w:t>
      </w:r>
      <w:r w:rsidR="00FE03ED" w:rsidRPr="00F4284D">
        <w:rPr>
          <w:rFonts w:cs="Arial"/>
          <w:lang w:val="fr-CH"/>
        </w:rPr>
        <w:t xml:space="preserve"> </w:t>
      </w:r>
      <w:r w:rsidR="00874CC2" w:rsidRPr="00F4284D">
        <w:rPr>
          <w:rFonts w:cs="Arial"/>
        </w:rPr>
        <w:t>Le Bureau international vérifiera les informations en s</w:t>
      </w:r>
      <w:r w:rsidR="00D671DB" w:rsidRPr="00F4284D">
        <w:rPr>
          <w:rFonts w:cs="Arial"/>
        </w:rPr>
        <w:t>’</w:t>
      </w:r>
      <w:r w:rsidR="00874CC2" w:rsidRPr="00F4284D">
        <w:rPr>
          <w:rFonts w:cs="Arial"/>
        </w:rPr>
        <w:t>appuyant sur les sources fournies.</w:t>
      </w:r>
    </w:p>
    <w:p w14:paraId="096E1BF2" w14:textId="77777777" w:rsidR="00DE7E2D" w:rsidRPr="00E95959" w:rsidRDefault="00DE7E2D" w:rsidP="00E95959">
      <w:pPr>
        <w:spacing w:after="0" w:line="240" w:lineRule="auto"/>
        <w:jc w:val="both"/>
        <w:rPr>
          <w:rFonts w:ascii="Arial" w:hAnsi="Arial"/>
          <w:bCs/>
          <w:sz w:val="16"/>
          <w:szCs w:val="16"/>
        </w:rPr>
      </w:pPr>
    </w:p>
    <w:p w14:paraId="47C5AA8A" w14:textId="468C1861" w:rsidR="00793D44" w:rsidRPr="00C80EBA" w:rsidRDefault="00BF5A38" w:rsidP="00A87953">
      <w:pPr>
        <w:spacing w:after="0" w:line="240" w:lineRule="atLeast"/>
        <w:jc w:val="both"/>
        <w:rPr>
          <w:rFonts w:ascii="Arial" w:hAnsi="Arial" w:cs="Arial"/>
        </w:rPr>
      </w:pPr>
      <w:r w:rsidRPr="00C80EBA">
        <w:rPr>
          <w:rFonts w:ascii="Arial" w:hAnsi="Arial" w:cs="Arial"/>
        </w:rPr>
        <w:t xml:space="preserve">Les opérateurs désignés sont invités à envoyer leur notification par courrier électronique </w:t>
      </w:r>
      <w:r w:rsidR="00A87953" w:rsidRPr="00C80EBA">
        <w:rPr>
          <w:rFonts w:ascii="Arial" w:hAnsi="Arial" w:cs="Arial"/>
        </w:rPr>
        <w:t>ou</w:t>
      </w:r>
      <w:r w:rsidRPr="00C80EBA">
        <w:rPr>
          <w:rFonts w:ascii="Arial" w:hAnsi="Arial" w:cs="Arial"/>
        </w:rPr>
        <w:t xml:space="preserve"> à en envoyer une copie par courrier électronique en cas d</w:t>
      </w:r>
      <w:r w:rsidR="00D671DB">
        <w:rPr>
          <w:rFonts w:ascii="Arial" w:hAnsi="Arial" w:cs="Arial"/>
        </w:rPr>
        <w:t>’</w:t>
      </w:r>
      <w:r w:rsidRPr="00C80EBA">
        <w:rPr>
          <w:rFonts w:ascii="Arial" w:hAnsi="Arial" w:cs="Arial"/>
        </w:rPr>
        <w:t>envoi par voie postale.</w:t>
      </w:r>
    </w:p>
    <w:p w14:paraId="47C5AA8B" w14:textId="77777777" w:rsidR="00BF5A38" w:rsidRPr="00E95959" w:rsidRDefault="00BF5A38" w:rsidP="000D6979">
      <w:pPr>
        <w:spacing w:after="0" w:line="240" w:lineRule="auto"/>
        <w:jc w:val="both"/>
        <w:rPr>
          <w:rFonts w:ascii="Arial" w:hAnsi="Arial"/>
          <w:bCs/>
          <w:sz w:val="16"/>
          <w:szCs w:val="16"/>
        </w:rPr>
      </w:pPr>
    </w:p>
    <w:p w14:paraId="47C5AA8C" w14:textId="3F1F116D" w:rsidR="008C2676" w:rsidRPr="00C80EBA" w:rsidRDefault="008C2676" w:rsidP="00A75615">
      <w:pPr>
        <w:spacing w:after="0" w:line="240" w:lineRule="atLeast"/>
        <w:jc w:val="both"/>
        <w:rPr>
          <w:rFonts w:ascii="Arial" w:hAnsi="Arial" w:cs="Arial"/>
        </w:rPr>
      </w:pPr>
      <w:r w:rsidRPr="00C80EBA">
        <w:rPr>
          <w:rFonts w:ascii="Arial" w:hAnsi="Arial"/>
        </w:rPr>
        <w:t xml:space="preserve">Si vous rencontrez des difficultés à remplir ce questionnaire, veuillez prendre contact avec </w:t>
      </w:r>
      <w:r w:rsidR="000B24D6" w:rsidRPr="00C80EBA">
        <w:rPr>
          <w:rFonts w:ascii="Arial" w:hAnsi="Arial"/>
          <w:lang w:eastAsia="fr-CH" w:bidi="ar-SA"/>
        </w:rPr>
        <w:t>Vytis Staskevicius</w:t>
      </w:r>
      <w:r w:rsidR="00793D44" w:rsidRPr="00C80EBA">
        <w:rPr>
          <w:rFonts w:ascii="Arial" w:hAnsi="Arial"/>
        </w:rPr>
        <w:t xml:space="preserve"> </w:t>
      </w:r>
      <w:r w:rsidR="00A75615" w:rsidRPr="00C80EBA">
        <w:rPr>
          <w:rFonts w:ascii="Arial" w:hAnsi="Arial"/>
        </w:rPr>
        <w:t xml:space="preserve">et Virginia Espinoza </w:t>
      </w:r>
      <w:r w:rsidR="00793D44" w:rsidRPr="00C80EBA">
        <w:rPr>
          <w:rFonts w:ascii="Arial" w:hAnsi="Arial"/>
        </w:rPr>
        <w:t>par courrier électronique.</w:t>
      </w:r>
    </w:p>
    <w:p w14:paraId="47C5AA8D" w14:textId="77777777" w:rsidR="00FB1D93" w:rsidRPr="00E95959" w:rsidRDefault="00FB1D93" w:rsidP="000D6979">
      <w:pPr>
        <w:spacing w:after="0" w:line="240" w:lineRule="auto"/>
        <w:jc w:val="both"/>
        <w:rPr>
          <w:rFonts w:ascii="Arial" w:hAnsi="Arial"/>
          <w:bCs/>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859"/>
        <w:gridCol w:w="3216"/>
        <w:gridCol w:w="1559"/>
      </w:tblGrid>
      <w:tr w:rsidR="00115BF2" w:rsidRPr="00C80EBA" w14:paraId="47C5AA91" w14:textId="77777777" w:rsidTr="00FB1D93">
        <w:trPr>
          <w:cantSplit/>
        </w:trPr>
        <w:tc>
          <w:tcPr>
            <w:tcW w:w="9634" w:type="dxa"/>
            <w:gridSpan w:val="3"/>
            <w:tcMar>
              <w:top w:w="57" w:type="dxa"/>
              <w:bottom w:w="0" w:type="dxa"/>
            </w:tcMar>
          </w:tcPr>
          <w:p w14:paraId="47C5AA8E" w14:textId="77777777" w:rsidR="008C2676" w:rsidRPr="00C80EBA" w:rsidRDefault="008C2676" w:rsidP="000E6605">
            <w:pPr>
              <w:spacing w:after="0" w:line="240" w:lineRule="auto"/>
              <w:rPr>
                <w:rFonts w:ascii="Arial" w:hAnsi="Arial" w:cs="Arial"/>
                <w:sz w:val="16"/>
                <w:szCs w:val="16"/>
              </w:rPr>
            </w:pPr>
            <w:r w:rsidRPr="00C80EBA">
              <w:rPr>
                <w:rFonts w:ascii="Arial" w:hAnsi="Arial"/>
                <w:sz w:val="16"/>
              </w:rPr>
              <w:t>Opérateur désigné</w:t>
            </w:r>
          </w:p>
          <w:p w14:paraId="47C5AA8F" w14:textId="77777777" w:rsidR="008C2676" w:rsidRPr="00E95959" w:rsidRDefault="008C2676" w:rsidP="000E6605">
            <w:pPr>
              <w:spacing w:after="0" w:line="240" w:lineRule="auto"/>
              <w:ind w:right="74"/>
              <w:rPr>
                <w:rFonts w:ascii="Arial" w:hAnsi="Arial" w:cs="Arial"/>
                <w:sz w:val="14"/>
                <w:szCs w:val="14"/>
              </w:rPr>
            </w:pPr>
          </w:p>
          <w:p w14:paraId="47C5AA90" w14:textId="77777777" w:rsidR="008C2676" w:rsidRPr="00E95959" w:rsidRDefault="008C2676" w:rsidP="000E6605">
            <w:pPr>
              <w:spacing w:after="0" w:line="240" w:lineRule="auto"/>
              <w:ind w:right="74"/>
              <w:rPr>
                <w:rFonts w:ascii="Arial" w:hAnsi="Arial" w:cs="Arial"/>
                <w:sz w:val="14"/>
                <w:szCs w:val="14"/>
              </w:rPr>
            </w:pPr>
          </w:p>
        </w:tc>
      </w:tr>
      <w:tr w:rsidR="00115BF2" w:rsidRPr="00C80EBA" w14:paraId="47C5AA96" w14:textId="77777777" w:rsidTr="00881825">
        <w:trPr>
          <w:cantSplit/>
          <w:trHeight w:val="33"/>
        </w:trPr>
        <w:tc>
          <w:tcPr>
            <w:tcW w:w="8075" w:type="dxa"/>
            <w:gridSpan w:val="2"/>
            <w:tcBorders>
              <w:right w:val="nil"/>
            </w:tcBorders>
            <w:tcMar>
              <w:top w:w="57" w:type="dxa"/>
              <w:bottom w:w="0" w:type="dxa"/>
            </w:tcMar>
          </w:tcPr>
          <w:p w14:paraId="47C5AA92" w14:textId="77777777" w:rsidR="008C2676" w:rsidRPr="00C80EBA" w:rsidRDefault="008C2676" w:rsidP="000E6605">
            <w:pPr>
              <w:spacing w:after="0" w:line="240" w:lineRule="auto"/>
              <w:ind w:right="75"/>
              <w:rPr>
                <w:rFonts w:ascii="Arial" w:hAnsi="Arial" w:cs="Arial"/>
                <w:sz w:val="16"/>
                <w:szCs w:val="16"/>
              </w:rPr>
            </w:pPr>
            <w:r w:rsidRPr="00C80EBA">
              <w:rPr>
                <w:rFonts w:ascii="Arial" w:hAnsi="Arial"/>
                <w:sz w:val="16"/>
              </w:rPr>
              <w:t>Nom et prénom</w:t>
            </w:r>
            <w:r w:rsidRPr="00C80EBA">
              <w:tab/>
            </w:r>
          </w:p>
          <w:p w14:paraId="47C5AA93" w14:textId="77777777" w:rsidR="008C2676" w:rsidRPr="00E95959" w:rsidRDefault="008C2676" w:rsidP="000E6605">
            <w:pPr>
              <w:spacing w:after="0" w:line="240" w:lineRule="auto"/>
              <w:rPr>
                <w:rFonts w:ascii="Arial" w:hAnsi="Arial" w:cs="Arial"/>
                <w:sz w:val="14"/>
                <w:szCs w:val="14"/>
              </w:rPr>
            </w:pPr>
          </w:p>
          <w:p w14:paraId="47C5AA94" w14:textId="77777777" w:rsidR="008C2676" w:rsidRPr="00E95959" w:rsidRDefault="008C2676" w:rsidP="000E6605">
            <w:pPr>
              <w:spacing w:after="0" w:line="240" w:lineRule="auto"/>
              <w:rPr>
                <w:rFonts w:ascii="Arial" w:hAnsi="Arial" w:cs="Arial"/>
                <w:sz w:val="14"/>
                <w:szCs w:val="14"/>
              </w:rPr>
            </w:pPr>
          </w:p>
        </w:tc>
        <w:tc>
          <w:tcPr>
            <w:tcW w:w="1559" w:type="dxa"/>
            <w:tcBorders>
              <w:left w:val="nil"/>
            </w:tcBorders>
            <w:tcMar>
              <w:top w:w="57" w:type="dxa"/>
            </w:tcMar>
            <w:vAlign w:val="bottom"/>
          </w:tcPr>
          <w:p w14:paraId="47C5AA95" w14:textId="77777777" w:rsidR="008C2676" w:rsidRPr="00C80EBA" w:rsidRDefault="00E95959" w:rsidP="000E6605">
            <w:pPr>
              <w:tabs>
                <w:tab w:val="left" w:pos="921"/>
              </w:tabs>
              <w:spacing w:after="0"/>
              <w:rPr>
                <w:rFonts w:ascii="Arial" w:hAnsi="Arial" w:cs="Arial"/>
                <w:sz w:val="16"/>
                <w:szCs w:val="16"/>
              </w:rPr>
            </w:pPr>
            <w:sdt>
              <w:sdtPr>
                <w:rPr>
                  <w:rFonts w:ascii="Arial" w:hAnsi="Arial" w:cs="Arial"/>
                  <w:sz w:val="24"/>
                  <w:szCs w:val="24"/>
                </w:rPr>
                <w:id w:val="-1990703502"/>
                <w14:checkbox>
                  <w14:checked w14:val="0"/>
                  <w14:checkedState w14:val="0054" w14:font="Wingdings 2"/>
                  <w14:uncheckedState w14:val="0071" w14:font="Wingdings"/>
                </w14:checkbox>
              </w:sdtPr>
              <w:sdtEndPr/>
              <w:sdtContent>
                <w:r w:rsidR="008C2676" w:rsidRPr="00C80EBA">
                  <w:rPr>
                    <w:rFonts w:ascii="Arial" w:hAnsi="Arial" w:cs="Arial"/>
                    <w:sz w:val="24"/>
                    <w:szCs w:val="24"/>
                  </w:rPr>
                  <w:sym w:font="Wingdings" w:char="F071"/>
                </w:r>
              </w:sdtContent>
            </w:sdt>
            <w:r w:rsidR="008C2676" w:rsidRPr="00C80EBA">
              <w:rPr>
                <w:rFonts w:ascii="Arial" w:hAnsi="Arial"/>
                <w:sz w:val="16"/>
              </w:rPr>
              <w:t xml:space="preserve"> M</w:t>
            </w:r>
            <w:r w:rsidR="008C2676" w:rsidRPr="00C80EBA">
              <w:rPr>
                <w:rFonts w:ascii="Arial" w:hAnsi="Arial"/>
                <w:sz w:val="16"/>
                <w:vertAlign w:val="superscript"/>
              </w:rPr>
              <w:t>me</w:t>
            </w:r>
            <w:r w:rsidR="008C2676" w:rsidRPr="00C80EBA">
              <w:tab/>
            </w:r>
            <w:sdt>
              <w:sdtPr>
                <w:rPr>
                  <w:rFonts w:ascii="Arial" w:hAnsi="Arial" w:cs="Arial"/>
                  <w:sz w:val="24"/>
                  <w:szCs w:val="24"/>
                </w:rPr>
                <w:id w:val="-823508224"/>
                <w14:checkbox>
                  <w14:checked w14:val="0"/>
                  <w14:checkedState w14:val="0054" w14:font="Wingdings 2"/>
                  <w14:uncheckedState w14:val="0071" w14:font="Wingdings"/>
                </w14:checkbox>
              </w:sdtPr>
              <w:sdtEndPr/>
              <w:sdtContent>
                <w:r w:rsidR="008C2676" w:rsidRPr="00C80EBA">
                  <w:rPr>
                    <w:rFonts w:ascii="Arial" w:hAnsi="Arial" w:cs="Arial"/>
                    <w:sz w:val="24"/>
                    <w:szCs w:val="24"/>
                  </w:rPr>
                  <w:sym w:font="Wingdings" w:char="F071"/>
                </w:r>
              </w:sdtContent>
            </w:sdt>
            <w:r w:rsidR="008C2676" w:rsidRPr="00C80EBA">
              <w:rPr>
                <w:rFonts w:ascii="Arial" w:hAnsi="Arial"/>
                <w:sz w:val="16"/>
              </w:rPr>
              <w:t xml:space="preserve"> M.</w:t>
            </w:r>
          </w:p>
        </w:tc>
      </w:tr>
      <w:tr w:rsidR="00115BF2" w:rsidRPr="00C80EBA" w14:paraId="47C5AA9A" w14:textId="77777777" w:rsidTr="00FB1D93">
        <w:trPr>
          <w:cantSplit/>
        </w:trPr>
        <w:tc>
          <w:tcPr>
            <w:tcW w:w="9634" w:type="dxa"/>
            <w:gridSpan w:val="3"/>
            <w:tcMar>
              <w:top w:w="57" w:type="dxa"/>
              <w:bottom w:w="0" w:type="dxa"/>
            </w:tcMar>
          </w:tcPr>
          <w:p w14:paraId="47C5AA97" w14:textId="77777777" w:rsidR="008C2676" w:rsidRPr="00C80EBA" w:rsidRDefault="008C2676" w:rsidP="000E6605">
            <w:pPr>
              <w:spacing w:after="0" w:line="240" w:lineRule="auto"/>
              <w:ind w:right="74"/>
              <w:rPr>
                <w:rFonts w:ascii="Arial" w:hAnsi="Arial" w:cs="Arial"/>
                <w:sz w:val="16"/>
                <w:szCs w:val="16"/>
              </w:rPr>
            </w:pPr>
            <w:r w:rsidRPr="00C80EBA">
              <w:rPr>
                <w:rFonts w:ascii="Arial" w:hAnsi="Arial"/>
                <w:sz w:val="16"/>
              </w:rPr>
              <w:t>Fonction/titre</w:t>
            </w:r>
          </w:p>
          <w:p w14:paraId="47C5AA98" w14:textId="77777777" w:rsidR="008C2676" w:rsidRPr="00E95959" w:rsidRDefault="008C2676" w:rsidP="000E6605">
            <w:pPr>
              <w:spacing w:after="0" w:line="240" w:lineRule="auto"/>
              <w:ind w:right="74"/>
              <w:rPr>
                <w:rFonts w:ascii="Arial" w:hAnsi="Arial" w:cs="Arial"/>
                <w:sz w:val="14"/>
                <w:szCs w:val="14"/>
              </w:rPr>
            </w:pPr>
          </w:p>
          <w:p w14:paraId="47C5AA99" w14:textId="77777777" w:rsidR="008C2676" w:rsidRPr="00E95959" w:rsidRDefault="008C2676" w:rsidP="000E6605">
            <w:pPr>
              <w:spacing w:after="0" w:line="240" w:lineRule="auto"/>
              <w:ind w:right="74"/>
              <w:rPr>
                <w:rFonts w:ascii="Arial" w:hAnsi="Arial" w:cs="Arial"/>
                <w:sz w:val="14"/>
                <w:szCs w:val="14"/>
              </w:rPr>
            </w:pPr>
          </w:p>
        </w:tc>
      </w:tr>
      <w:tr w:rsidR="00115BF2" w:rsidRPr="00C80EBA" w14:paraId="47C5AAA7" w14:textId="77777777" w:rsidTr="00FB1D93">
        <w:trPr>
          <w:cantSplit/>
          <w:trHeight w:val="192"/>
        </w:trPr>
        <w:tc>
          <w:tcPr>
            <w:tcW w:w="4859" w:type="dxa"/>
            <w:tcMar>
              <w:top w:w="57" w:type="dxa"/>
              <w:bottom w:w="0" w:type="dxa"/>
            </w:tcMar>
          </w:tcPr>
          <w:p w14:paraId="47C5AAA2" w14:textId="77777777" w:rsidR="008C2676" w:rsidRPr="00C80EBA" w:rsidRDefault="008C2676" w:rsidP="000E6605">
            <w:pPr>
              <w:spacing w:after="0" w:line="240" w:lineRule="auto"/>
              <w:ind w:right="74"/>
              <w:rPr>
                <w:rFonts w:ascii="Arial" w:hAnsi="Arial" w:cs="Arial"/>
                <w:sz w:val="16"/>
                <w:szCs w:val="16"/>
              </w:rPr>
            </w:pPr>
            <w:r w:rsidRPr="00C80EBA">
              <w:rPr>
                <w:rFonts w:ascii="Arial" w:hAnsi="Arial"/>
                <w:sz w:val="16"/>
              </w:rPr>
              <w:t>Téléphone</w:t>
            </w:r>
          </w:p>
          <w:p w14:paraId="47C5AAA3" w14:textId="77777777" w:rsidR="008C2676" w:rsidRPr="00E95959" w:rsidRDefault="008C2676" w:rsidP="000E6605">
            <w:pPr>
              <w:spacing w:after="0" w:line="240" w:lineRule="auto"/>
              <w:ind w:right="74"/>
              <w:rPr>
                <w:rFonts w:ascii="Arial" w:hAnsi="Arial" w:cs="Arial"/>
                <w:sz w:val="14"/>
                <w:szCs w:val="14"/>
              </w:rPr>
            </w:pPr>
          </w:p>
          <w:p w14:paraId="47C5AAA4" w14:textId="77777777" w:rsidR="008C2676" w:rsidRPr="00E95959" w:rsidRDefault="008C2676" w:rsidP="000E6605">
            <w:pPr>
              <w:spacing w:after="0" w:line="240" w:lineRule="auto"/>
              <w:ind w:right="74"/>
              <w:rPr>
                <w:rFonts w:ascii="Arial" w:hAnsi="Arial" w:cs="Arial"/>
                <w:sz w:val="14"/>
                <w:szCs w:val="14"/>
              </w:rPr>
            </w:pPr>
          </w:p>
        </w:tc>
        <w:tc>
          <w:tcPr>
            <w:tcW w:w="4775" w:type="dxa"/>
            <w:gridSpan w:val="2"/>
            <w:tcMar>
              <w:top w:w="57" w:type="dxa"/>
              <w:bottom w:w="0" w:type="dxa"/>
            </w:tcMar>
          </w:tcPr>
          <w:p w14:paraId="47C5AAA5" w14:textId="77777777" w:rsidR="008C2676" w:rsidRPr="00C80EBA" w:rsidRDefault="008C2676" w:rsidP="000E6605">
            <w:pPr>
              <w:spacing w:after="0" w:line="240" w:lineRule="auto"/>
              <w:ind w:right="74"/>
              <w:rPr>
                <w:rFonts w:ascii="Arial" w:hAnsi="Arial" w:cs="Arial"/>
                <w:sz w:val="16"/>
                <w:szCs w:val="16"/>
              </w:rPr>
            </w:pPr>
            <w:r w:rsidRPr="00C80EBA">
              <w:rPr>
                <w:rFonts w:ascii="Arial" w:hAnsi="Arial"/>
                <w:sz w:val="16"/>
              </w:rPr>
              <w:t>Télécopie</w:t>
            </w:r>
          </w:p>
          <w:p w14:paraId="581216E7" w14:textId="77777777" w:rsidR="008C2676" w:rsidRPr="00E95959" w:rsidRDefault="008C2676" w:rsidP="000E6605">
            <w:pPr>
              <w:spacing w:after="0" w:line="240" w:lineRule="auto"/>
              <w:ind w:right="74"/>
              <w:rPr>
                <w:rFonts w:ascii="Arial" w:hAnsi="Arial" w:cs="Arial"/>
                <w:sz w:val="14"/>
                <w:szCs w:val="14"/>
              </w:rPr>
            </w:pPr>
          </w:p>
          <w:p w14:paraId="47C5AAA6" w14:textId="2388F455" w:rsidR="00BF7C70" w:rsidRPr="00E95959" w:rsidRDefault="00BF7C70" w:rsidP="000E6605">
            <w:pPr>
              <w:spacing w:after="0" w:line="240" w:lineRule="auto"/>
              <w:ind w:right="74"/>
              <w:rPr>
                <w:rFonts w:ascii="Arial" w:hAnsi="Arial" w:cs="Arial"/>
                <w:sz w:val="14"/>
                <w:szCs w:val="14"/>
              </w:rPr>
            </w:pPr>
          </w:p>
        </w:tc>
      </w:tr>
      <w:tr w:rsidR="00115BF2" w:rsidRPr="00C80EBA" w14:paraId="47C5AAAB" w14:textId="77777777" w:rsidTr="00FB1D93">
        <w:trPr>
          <w:cantSplit/>
        </w:trPr>
        <w:tc>
          <w:tcPr>
            <w:tcW w:w="9634" w:type="dxa"/>
            <w:gridSpan w:val="3"/>
            <w:tcMar>
              <w:top w:w="57" w:type="dxa"/>
              <w:bottom w:w="0" w:type="dxa"/>
            </w:tcMar>
          </w:tcPr>
          <w:p w14:paraId="47C5AAA8" w14:textId="77777777" w:rsidR="008C2676" w:rsidRPr="00C80EBA" w:rsidRDefault="008C2676" w:rsidP="000E6605">
            <w:pPr>
              <w:spacing w:after="0" w:line="240" w:lineRule="auto"/>
              <w:ind w:right="74"/>
              <w:rPr>
                <w:rFonts w:ascii="Arial" w:eastAsia="SimSun" w:hAnsi="Arial" w:cs="Arial"/>
                <w:sz w:val="16"/>
                <w:szCs w:val="16"/>
              </w:rPr>
            </w:pPr>
            <w:r w:rsidRPr="00C80EBA">
              <w:rPr>
                <w:rFonts w:ascii="Arial" w:hAnsi="Arial"/>
                <w:sz w:val="16"/>
              </w:rPr>
              <w:t>Adresse électronique</w:t>
            </w:r>
          </w:p>
          <w:p w14:paraId="47C5AAA9" w14:textId="77777777" w:rsidR="008C2676" w:rsidRPr="00E95959" w:rsidRDefault="008C2676" w:rsidP="000E6605">
            <w:pPr>
              <w:spacing w:after="0" w:line="240" w:lineRule="auto"/>
              <w:ind w:right="74"/>
              <w:rPr>
                <w:rFonts w:ascii="Arial" w:eastAsia="SimSun" w:hAnsi="Arial" w:cs="Arial"/>
                <w:sz w:val="14"/>
                <w:szCs w:val="14"/>
              </w:rPr>
            </w:pPr>
          </w:p>
          <w:p w14:paraId="47C5AAAA" w14:textId="77777777" w:rsidR="008C2676" w:rsidRPr="00E95959" w:rsidRDefault="008C2676" w:rsidP="000E6605">
            <w:pPr>
              <w:spacing w:after="0" w:line="240" w:lineRule="auto"/>
              <w:ind w:right="74"/>
              <w:rPr>
                <w:rFonts w:ascii="Arial" w:eastAsia="SimSun" w:hAnsi="Arial" w:cs="Arial"/>
                <w:sz w:val="14"/>
                <w:szCs w:val="14"/>
              </w:rPr>
            </w:pPr>
          </w:p>
        </w:tc>
      </w:tr>
      <w:tr w:rsidR="00115BF2" w:rsidRPr="00C80EBA" w14:paraId="47C5AAB1" w14:textId="77777777" w:rsidTr="00FB1D93">
        <w:trPr>
          <w:cantSplit/>
        </w:trPr>
        <w:tc>
          <w:tcPr>
            <w:tcW w:w="4859" w:type="dxa"/>
            <w:tcMar>
              <w:top w:w="57" w:type="dxa"/>
              <w:bottom w:w="0" w:type="dxa"/>
            </w:tcMar>
          </w:tcPr>
          <w:p w14:paraId="47C5AAAC" w14:textId="77777777" w:rsidR="008C2676" w:rsidRPr="00C80EBA" w:rsidRDefault="008C2676" w:rsidP="000E6605">
            <w:pPr>
              <w:spacing w:after="0" w:line="240" w:lineRule="auto"/>
              <w:ind w:right="74"/>
              <w:rPr>
                <w:rFonts w:ascii="Arial" w:hAnsi="Arial" w:cs="Arial"/>
                <w:sz w:val="16"/>
                <w:szCs w:val="16"/>
              </w:rPr>
            </w:pPr>
            <w:r w:rsidRPr="00C80EBA">
              <w:rPr>
                <w:rFonts w:ascii="Arial" w:hAnsi="Arial"/>
                <w:sz w:val="16"/>
              </w:rPr>
              <w:t>Date</w:t>
            </w:r>
          </w:p>
          <w:p w14:paraId="47C5AAAD" w14:textId="77777777" w:rsidR="008C2676" w:rsidRPr="00E95959" w:rsidRDefault="008C2676" w:rsidP="000E6605">
            <w:pPr>
              <w:spacing w:after="0" w:line="240" w:lineRule="auto"/>
              <w:ind w:right="74"/>
              <w:rPr>
                <w:rFonts w:ascii="Arial" w:hAnsi="Arial" w:cs="Arial"/>
                <w:sz w:val="14"/>
                <w:szCs w:val="14"/>
              </w:rPr>
            </w:pPr>
          </w:p>
          <w:p w14:paraId="47C5AAAE" w14:textId="77777777" w:rsidR="008C2676" w:rsidRPr="00E95959" w:rsidRDefault="008C2676" w:rsidP="000E6605">
            <w:pPr>
              <w:spacing w:after="0" w:line="240" w:lineRule="auto"/>
              <w:ind w:right="74"/>
              <w:rPr>
                <w:rFonts w:ascii="Arial" w:hAnsi="Arial" w:cs="Arial"/>
                <w:sz w:val="14"/>
                <w:szCs w:val="14"/>
              </w:rPr>
            </w:pPr>
          </w:p>
        </w:tc>
        <w:tc>
          <w:tcPr>
            <w:tcW w:w="4775" w:type="dxa"/>
            <w:gridSpan w:val="2"/>
            <w:tcMar>
              <w:top w:w="57" w:type="dxa"/>
              <w:bottom w:w="0" w:type="dxa"/>
            </w:tcMar>
          </w:tcPr>
          <w:p w14:paraId="47C5AAAF" w14:textId="77777777" w:rsidR="008C2676" w:rsidRPr="00C80EBA" w:rsidRDefault="008C2676" w:rsidP="000E6605">
            <w:pPr>
              <w:spacing w:after="0" w:line="240" w:lineRule="auto"/>
              <w:ind w:right="74"/>
              <w:rPr>
                <w:rFonts w:ascii="Arial" w:hAnsi="Arial" w:cs="Arial"/>
                <w:sz w:val="16"/>
                <w:szCs w:val="16"/>
              </w:rPr>
            </w:pPr>
            <w:r w:rsidRPr="00C80EBA">
              <w:rPr>
                <w:rFonts w:ascii="Arial" w:hAnsi="Arial"/>
                <w:sz w:val="16"/>
              </w:rPr>
              <w:t>Signature</w:t>
            </w:r>
          </w:p>
          <w:p w14:paraId="714CC79A" w14:textId="77777777" w:rsidR="008C2676" w:rsidRPr="00E95959" w:rsidRDefault="008C2676" w:rsidP="000E6605">
            <w:pPr>
              <w:spacing w:after="0" w:line="240" w:lineRule="auto"/>
              <w:ind w:right="74"/>
              <w:rPr>
                <w:rFonts w:ascii="Arial" w:eastAsia="SimSun" w:hAnsi="Arial" w:cs="Arial"/>
                <w:sz w:val="14"/>
                <w:szCs w:val="14"/>
              </w:rPr>
            </w:pPr>
          </w:p>
          <w:p w14:paraId="47C5AAB0" w14:textId="49057455" w:rsidR="00BF7C70" w:rsidRPr="00E95959" w:rsidRDefault="00BF7C70" w:rsidP="000E6605">
            <w:pPr>
              <w:spacing w:after="0" w:line="240" w:lineRule="auto"/>
              <w:ind w:right="74"/>
              <w:rPr>
                <w:rFonts w:ascii="Arial" w:eastAsia="SimSun" w:hAnsi="Arial" w:cs="Arial"/>
                <w:sz w:val="14"/>
                <w:szCs w:val="14"/>
              </w:rPr>
            </w:pPr>
          </w:p>
        </w:tc>
      </w:tr>
    </w:tbl>
    <w:p w14:paraId="47C5AAB2" w14:textId="77777777" w:rsidR="008C2676" w:rsidRPr="00C80EBA" w:rsidRDefault="00157DC2" w:rsidP="00FC3282">
      <w:pPr>
        <w:pageBreakBefore/>
        <w:spacing w:after="0" w:line="240" w:lineRule="atLeast"/>
        <w:jc w:val="both"/>
        <w:rPr>
          <w:rFonts w:ascii="Arial" w:hAnsi="Arial" w:cs="Arial"/>
          <w:i/>
          <w:iCs/>
        </w:rPr>
      </w:pPr>
      <w:r w:rsidRPr="00C80EBA">
        <w:rPr>
          <w:rFonts w:ascii="Arial" w:hAnsi="Arial"/>
          <w:i/>
        </w:rPr>
        <w:lastRenderedPageBreak/>
        <w:t>Tableau 1 – Tarif</w:t>
      </w:r>
      <w:r w:rsidR="008C2676" w:rsidRPr="00C80EBA">
        <w:rPr>
          <w:rFonts w:ascii="Arial" w:hAnsi="Arial"/>
          <w:i/>
        </w:rPr>
        <w:t xml:space="preserve"> pour un envoi prioritaire de la poste aux lettres de 20 grammes de petit format (P) du régime intérieur</w:t>
      </w:r>
    </w:p>
    <w:p w14:paraId="47C5AAB3" w14:textId="77777777" w:rsidR="008C2676" w:rsidRPr="00C80EBA" w:rsidRDefault="008C2676" w:rsidP="008C2676">
      <w:pPr>
        <w:spacing w:after="0" w:line="240" w:lineRule="atLeas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3254"/>
      </w:tblGrid>
      <w:tr w:rsidR="00115BF2" w:rsidRPr="00C80EBA" w14:paraId="47C5AAB6" w14:textId="77777777" w:rsidTr="004B6E0F">
        <w:tc>
          <w:tcPr>
            <w:tcW w:w="6374" w:type="dxa"/>
            <w:shd w:val="clear" w:color="auto" w:fill="auto"/>
          </w:tcPr>
          <w:p w14:paraId="47C5AAB4" w14:textId="7B1B5438" w:rsidR="008C2676" w:rsidRPr="00C80EBA" w:rsidRDefault="00157DC2" w:rsidP="00A75615">
            <w:pPr>
              <w:spacing w:before="60" w:after="60" w:line="240" w:lineRule="atLeast"/>
              <w:rPr>
                <w:rFonts w:ascii="Arial" w:hAnsi="Arial" w:cs="Arial"/>
              </w:rPr>
            </w:pPr>
            <w:r w:rsidRPr="00C80EBA">
              <w:rPr>
                <w:rFonts w:ascii="Arial" w:hAnsi="Arial"/>
              </w:rPr>
              <w:t xml:space="preserve">Tarif </w:t>
            </w:r>
            <w:r w:rsidR="008C2676" w:rsidRPr="00C80EBA">
              <w:rPr>
                <w:rFonts w:ascii="Arial" w:hAnsi="Arial"/>
              </w:rPr>
              <w:t>en vigueur au 1</w:t>
            </w:r>
            <w:r w:rsidR="008C2676" w:rsidRPr="00C80EBA">
              <w:rPr>
                <w:rFonts w:ascii="Arial" w:hAnsi="Arial"/>
                <w:vertAlign w:val="superscript"/>
              </w:rPr>
              <w:t>er</w:t>
            </w:r>
            <w:r w:rsidR="008C2676" w:rsidRPr="00C80EBA">
              <w:rPr>
                <w:rFonts w:ascii="Arial" w:hAnsi="Arial"/>
              </w:rPr>
              <w:t xml:space="preserve"> </w:t>
            </w:r>
            <w:r w:rsidR="002826DD" w:rsidRPr="00C80EBA">
              <w:rPr>
                <w:rFonts w:ascii="Arial" w:hAnsi="Arial"/>
              </w:rPr>
              <w:t>mai</w:t>
            </w:r>
            <w:r w:rsidR="008C2676" w:rsidRPr="00C80EBA">
              <w:rPr>
                <w:rFonts w:ascii="Arial" w:hAnsi="Arial"/>
              </w:rPr>
              <w:t xml:space="preserve"> </w:t>
            </w:r>
            <w:r w:rsidR="00FE03ED" w:rsidRPr="00C80EBA">
              <w:rPr>
                <w:rFonts w:ascii="Arial" w:hAnsi="Arial"/>
              </w:rPr>
              <w:t>202</w:t>
            </w:r>
            <w:r w:rsidR="00FE03ED">
              <w:rPr>
                <w:rFonts w:ascii="Arial" w:hAnsi="Arial"/>
              </w:rPr>
              <w:t>6</w:t>
            </w:r>
            <w:r w:rsidR="00FE03ED" w:rsidRPr="00C80EBA">
              <w:rPr>
                <w:rFonts w:ascii="Arial" w:hAnsi="Arial"/>
              </w:rPr>
              <w:t xml:space="preserve"> </w:t>
            </w:r>
            <w:r w:rsidR="008C2676" w:rsidRPr="00C80EBA">
              <w:rPr>
                <w:rFonts w:ascii="Arial" w:hAnsi="Arial"/>
              </w:rPr>
              <w:t>pour un envoi prioritaire de la poste aux lettres de 20 grammes de petit format (P) du régime intérieur (exprimée en monnaie nationale)</w:t>
            </w:r>
          </w:p>
        </w:tc>
        <w:tc>
          <w:tcPr>
            <w:tcW w:w="3254" w:type="dxa"/>
            <w:shd w:val="clear" w:color="auto" w:fill="auto"/>
          </w:tcPr>
          <w:p w14:paraId="47C5AAB5" w14:textId="77777777" w:rsidR="008C2676" w:rsidRPr="00C80EBA" w:rsidRDefault="008C2676" w:rsidP="000E6605">
            <w:pPr>
              <w:spacing w:before="60" w:after="60" w:line="240" w:lineRule="atLeast"/>
              <w:rPr>
                <w:rFonts w:ascii="Arial" w:hAnsi="Arial" w:cs="Arial"/>
              </w:rPr>
            </w:pPr>
          </w:p>
        </w:tc>
      </w:tr>
      <w:tr w:rsidR="00115BF2" w:rsidRPr="00C80EBA" w14:paraId="47C5AAB9" w14:textId="77777777" w:rsidTr="004B6E0F">
        <w:tc>
          <w:tcPr>
            <w:tcW w:w="6374" w:type="dxa"/>
            <w:shd w:val="clear" w:color="auto" w:fill="auto"/>
          </w:tcPr>
          <w:p w14:paraId="47C5AAB7" w14:textId="6F77D756" w:rsidR="008C2676" w:rsidRPr="00C80EBA" w:rsidRDefault="008C2676" w:rsidP="004B6E0F">
            <w:pPr>
              <w:spacing w:before="60" w:after="60" w:line="240" w:lineRule="atLeast"/>
              <w:rPr>
                <w:rFonts w:ascii="Arial" w:hAnsi="Arial" w:cs="Arial"/>
              </w:rPr>
            </w:pPr>
            <w:r w:rsidRPr="00C80EBA">
              <w:rPr>
                <w:rFonts w:ascii="Arial" w:hAnsi="Arial"/>
              </w:rPr>
              <w:t xml:space="preserve">Pourcentage du tarif correspondant à la TVA </w:t>
            </w:r>
            <w:r w:rsidR="00C776ED" w:rsidRPr="00C80EBA">
              <w:rPr>
                <w:rFonts w:ascii="Arial" w:hAnsi="Arial"/>
              </w:rPr>
              <w:t>ou à d</w:t>
            </w:r>
            <w:r w:rsidR="00D671DB">
              <w:rPr>
                <w:rFonts w:ascii="Arial" w:hAnsi="Arial"/>
              </w:rPr>
              <w:t>’</w:t>
            </w:r>
            <w:r w:rsidR="00C776ED" w:rsidRPr="00C80EBA">
              <w:rPr>
                <w:rFonts w:ascii="Arial" w:hAnsi="Arial"/>
              </w:rPr>
              <w:t>autres taxes</w:t>
            </w:r>
          </w:p>
        </w:tc>
        <w:tc>
          <w:tcPr>
            <w:tcW w:w="3254" w:type="dxa"/>
            <w:shd w:val="clear" w:color="auto" w:fill="auto"/>
          </w:tcPr>
          <w:p w14:paraId="47C5AAB8" w14:textId="77777777" w:rsidR="008C2676" w:rsidRPr="00C80EBA" w:rsidRDefault="008C2676" w:rsidP="000E6605">
            <w:pPr>
              <w:spacing w:before="60" w:after="60" w:line="240" w:lineRule="atLeast"/>
              <w:rPr>
                <w:rFonts w:ascii="Arial" w:hAnsi="Arial" w:cs="Arial"/>
              </w:rPr>
            </w:pPr>
          </w:p>
        </w:tc>
      </w:tr>
      <w:tr w:rsidR="00115BF2" w:rsidRPr="00C80EBA" w14:paraId="47C5AABC" w14:textId="77777777" w:rsidTr="004B6E0F">
        <w:tc>
          <w:tcPr>
            <w:tcW w:w="6374" w:type="dxa"/>
            <w:tcBorders>
              <w:top w:val="single" w:sz="4" w:space="0" w:color="auto"/>
              <w:left w:val="single" w:sz="4" w:space="0" w:color="auto"/>
              <w:bottom w:val="single" w:sz="4" w:space="0" w:color="auto"/>
              <w:right w:val="single" w:sz="4" w:space="0" w:color="auto"/>
            </w:tcBorders>
            <w:shd w:val="clear" w:color="auto" w:fill="auto"/>
          </w:tcPr>
          <w:p w14:paraId="47C5AABA" w14:textId="77777777" w:rsidR="008C2676" w:rsidRPr="00C80EBA" w:rsidRDefault="008C2676" w:rsidP="000E6605">
            <w:pPr>
              <w:spacing w:before="60" w:after="60" w:line="240" w:lineRule="atLeast"/>
              <w:rPr>
                <w:rFonts w:ascii="Arial" w:hAnsi="Arial" w:cs="Arial"/>
              </w:rPr>
            </w:pPr>
            <w:r w:rsidRPr="00C80EBA">
              <w:rPr>
                <w:rFonts w:ascii="Arial" w:hAnsi="Arial"/>
              </w:rPr>
              <w:t>Format/catégorie dans le cadre du régime intérieur</w:t>
            </w:r>
          </w:p>
        </w:tc>
        <w:tc>
          <w:tcPr>
            <w:tcW w:w="3254" w:type="dxa"/>
            <w:tcBorders>
              <w:top w:val="single" w:sz="4" w:space="0" w:color="auto"/>
              <w:left w:val="single" w:sz="4" w:space="0" w:color="auto"/>
              <w:bottom w:val="single" w:sz="4" w:space="0" w:color="auto"/>
              <w:right w:val="single" w:sz="4" w:space="0" w:color="auto"/>
            </w:tcBorders>
            <w:shd w:val="clear" w:color="auto" w:fill="auto"/>
          </w:tcPr>
          <w:p w14:paraId="47C5AABB" w14:textId="77777777" w:rsidR="008C2676" w:rsidRPr="00C80EBA" w:rsidRDefault="008C2676" w:rsidP="000E6605">
            <w:pPr>
              <w:spacing w:before="60" w:after="60" w:line="240" w:lineRule="atLeast"/>
              <w:rPr>
                <w:rFonts w:ascii="Arial" w:hAnsi="Arial" w:cs="Arial"/>
              </w:rPr>
            </w:pPr>
          </w:p>
        </w:tc>
      </w:tr>
      <w:tr w:rsidR="00115BF2" w:rsidRPr="00C80EBA" w14:paraId="47C5AABF" w14:textId="77777777" w:rsidTr="004B6E0F">
        <w:tc>
          <w:tcPr>
            <w:tcW w:w="6374" w:type="dxa"/>
            <w:tcBorders>
              <w:top w:val="single" w:sz="4" w:space="0" w:color="auto"/>
              <w:left w:val="single" w:sz="4" w:space="0" w:color="auto"/>
              <w:bottom w:val="single" w:sz="4" w:space="0" w:color="auto"/>
              <w:right w:val="single" w:sz="4" w:space="0" w:color="auto"/>
            </w:tcBorders>
            <w:shd w:val="clear" w:color="auto" w:fill="auto"/>
          </w:tcPr>
          <w:p w14:paraId="47C5AABD" w14:textId="77777777" w:rsidR="008C2676" w:rsidRPr="00C80EBA" w:rsidRDefault="008C2676" w:rsidP="004B6E0F">
            <w:pPr>
              <w:spacing w:before="60" w:after="60" w:line="240" w:lineRule="atLeast"/>
              <w:rPr>
                <w:rFonts w:ascii="Arial" w:hAnsi="Arial" w:cs="Arial"/>
              </w:rPr>
            </w:pPr>
            <w:r w:rsidRPr="00C80EBA">
              <w:rPr>
                <w:rFonts w:ascii="Arial" w:hAnsi="Arial"/>
              </w:rPr>
              <w:t xml:space="preserve">Échelon de poids auquel </w:t>
            </w:r>
            <w:r w:rsidR="00157DC2" w:rsidRPr="00C80EBA">
              <w:rPr>
                <w:rFonts w:ascii="Arial" w:hAnsi="Arial"/>
              </w:rPr>
              <w:t>le tarif</w:t>
            </w:r>
            <w:r w:rsidRPr="00C80EBA">
              <w:rPr>
                <w:rFonts w:ascii="Arial" w:hAnsi="Arial"/>
              </w:rPr>
              <w:t xml:space="preserve"> est applicable (g) (p. ex. 0–20 g)</w:t>
            </w:r>
          </w:p>
        </w:tc>
        <w:tc>
          <w:tcPr>
            <w:tcW w:w="3254" w:type="dxa"/>
            <w:tcBorders>
              <w:top w:val="single" w:sz="4" w:space="0" w:color="auto"/>
              <w:left w:val="single" w:sz="4" w:space="0" w:color="auto"/>
              <w:bottom w:val="single" w:sz="4" w:space="0" w:color="auto"/>
              <w:right w:val="single" w:sz="4" w:space="0" w:color="auto"/>
            </w:tcBorders>
            <w:shd w:val="clear" w:color="auto" w:fill="auto"/>
          </w:tcPr>
          <w:p w14:paraId="47C5AABE" w14:textId="77777777" w:rsidR="008C2676" w:rsidRPr="00C80EBA" w:rsidRDefault="008C2676" w:rsidP="000E6605">
            <w:pPr>
              <w:spacing w:before="60" w:after="60" w:line="240" w:lineRule="atLeast"/>
              <w:rPr>
                <w:rFonts w:ascii="Arial" w:hAnsi="Arial" w:cs="Arial"/>
              </w:rPr>
            </w:pPr>
          </w:p>
        </w:tc>
      </w:tr>
      <w:tr w:rsidR="00115BF2" w:rsidRPr="00C80EBA" w14:paraId="47C5AAC5" w14:textId="77777777" w:rsidTr="004B6E0F">
        <w:tc>
          <w:tcPr>
            <w:tcW w:w="6374" w:type="dxa"/>
            <w:tcBorders>
              <w:top w:val="single" w:sz="4" w:space="0" w:color="auto"/>
              <w:left w:val="single" w:sz="4" w:space="0" w:color="auto"/>
              <w:bottom w:val="single" w:sz="4" w:space="0" w:color="auto"/>
              <w:right w:val="single" w:sz="4" w:space="0" w:color="auto"/>
            </w:tcBorders>
            <w:shd w:val="clear" w:color="auto" w:fill="auto"/>
          </w:tcPr>
          <w:p w14:paraId="47C5AAC3" w14:textId="77777777" w:rsidR="008C2676" w:rsidRPr="00C80EBA" w:rsidRDefault="008C2676" w:rsidP="000E6605">
            <w:pPr>
              <w:spacing w:before="60" w:after="60" w:line="240" w:lineRule="atLeast"/>
              <w:rPr>
                <w:rFonts w:ascii="Arial" w:hAnsi="Arial" w:cs="Arial"/>
              </w:rPr>
            </w:pPr>
            <w:r w:rsidRPr="00C80EBA">
              <w:rPr>
                <w:rFonts w:ascii="Arial" w:hAnsi="Arial"/>
              </w:rPr>
              <w:t>Dimensions maximales: largeur</w:t>
            </w:r>
            <w:r w:rsidR="00FA327D" w:rsidRPr="00C80EBA">
              <w:rPr>
                <w:rFonts w:ascii="Arial" w:hAnsi="Arial" w:cs="Arial"/>
              </w:rPr>
              <w:t>–</w:t>
            </w:r>
            <w:r w:rsidRPr="00C80EBA">
              <w:rPr>
                <w:rFonts w:ascii="Arial" w:hAnsi="Arial"/>
              </w:rPr>
              <w:t>longueur (mm)</w:t>
            </w:r>
          </w:p>
        </w:tc>
        <w:tc>
          <w:tcPr>
            <w:tcW w:w="3254" w:type="dxa"/>
            <w:tcBorders>
              <w:top w:val="single" w:sz="4" w:space="0" w:color="auto"/>
              <w:left w:val="single" w:sz="4" w:space="0" w:color="auto"/>
              <w:bottom w:val="single" w:sz="4" w:space="0" w:color="auto"/>
              <w:right w:val="single" w:sz="4" w:space="0" w:color="auto"/>
            </w:tcBorders>
            <w:shd w:val="clear" w:color="auto" w:fill="auto"/>
          </w:tcPr>
          <w:p w14:paraId="47C5AAC4" w14:textId="77777777" w:rsidR="008C2676" w:rsidRPr="00C80EBA" w:rsidRDefault="008C2676" w:rsidP="000E6605">
            <w:pPr>
              <w:spacing w:before="60" w:after="60" w:line="240" w:lineRule="atLeast"/>
              <w:rPr>
                <w:rFonts w:ascii="Arial" w:hAnsi="Arial" w:cs="Arial"/>
              </w:rPr>
            </w:pPr>
          </w:p>
        </w:tc>
      </w:tr>
      <w:tr w:rsidR="00115BF2" w:rsidRPr="00C80EBA" w14:paraId="47C5AAC8" w14:textId="77777777" w:rsidTr="004B6E0F">
        <w:tc>
          <w:tcPr>
            <w:tcW w:w="6374" w:type="dxa"/>
            <w:tcBorders>
              <w:top w:val="single" w:sz="4" w:space="0" w:color="auto"/>
              <w:left w:val="single" w:sz="4" w:space="0" w:color="auto"/>
              <w:bottom w:val="single" w:sz="4" w:space="0" w:color="auto"/>
              <w:right w:val="single" w:sz="4" w:space="0" w:color="auto"/>
            </w:tcBorders>
            <w:shd w:val="clear" w:color="auto" w:fill="auto"/>
          </w:tcPr>
          <w:p w14:paraId="47C5AAC6" w14:textId="77777777" w:rsidR="008C2676" w:rsidRPr="00C80EBA" w:rsidRDefault="008C2676" w:rsidP="000E6605">
            <w:pPr>
              <w:spacing w:before="60" w:after="60" w:line="240" w:lineRule="atLeast"/>
              <w:rPr>
                <w:rFonts w:ascii="Arial" w:hAnsi="Arial" w:cs="Arial"/>
              </w:rPr>
            </w:pPr>
            <w:r w:rsidRPr="00C80EBA">
              <w:rPr>
                <w:rFonts w:ascii="Arial" w:hAnsi="Arial"/>
              </w:rPr>
              <w:t>Épaisseur maximale (mm)</w:t>
            </w:r>
          </w:p>
        </w:tc>
        <w:tc>
          <w:tcPr>
            <w:tcW w:w="3254" w:type="dxa"/>
            <w:tcBorders>
              <w:top w:val="single" w:sz="4" w:space="0" w:color="auto"/>
              <w:left w:val="single" w:sz="4" w:space="0" w:color="auto"/>
              <w:bottom w:val="single" w:sz="4" w:space="0" w:color="auto"/>
              <w:right w:val="single" w:sz="4" w:space="0" w:color="auto"/>
            </w:tcBorders>
            <w:shd w:val="clear" w:color="auto" w:fill="auto"/>
          </w:tcPr>
          <w:p w14:paraId="47C5AAC7" w14:textId="77777777" w:rsidR="008C2676" w:rsidRPr="00C80EBA" w:rsidRDefault="008C2676" w:rsidP="000E6605">
            <w:pPr>
              <w:spacing w:before="60" w:after="60" w:line="240" w:lineRule="atLeast"/>
              <w:rPr>
                <w:rFonts w:ascii="Arial" w:hAnsi="Arial" w:cs="Arial"/>
              </w:rPr>
            </w:pPr>
          </w:p>
        </w:tc>
      </w:tr>
      <w:tr w:rsidR="008C2676" w:rsidRPr="00C80EBA" w14:paraId="47C5AAD1" w14:textId="77777777" w:rsidTr="004B6E0F">
        <w:tc>
          <w:tcPr>
            <w:tcW w:w="6374" w:type="dxa"/>
            <w:tcBorders>
              <w:top w:val="single" w:sz="4" w:space="0" w:color="auto"/>
              <w:left w:val="single" w:sz="4" w:space="0" w:color="auto"/>
              <w:bottom w:val="single" w:sz="4" w:space="0" w:color="auto"/>
              <w:right w:val="single" w:sz="4" w:space="0" w:color="auto"/>
            </w:tcBorders>
            <w:shd w:val="clear" w:color="auto" w:fill="auto"/>
          </w:tcPr>
          <w:p w14:paraId="47C5AACF" w14:textId="333B0AE3" w:rsidR="008C2676" w:rsidRPr="00C80EBA" w:rsidRDefault="008C2676" w:rsidP="008317C4">
            <w:pPr>
              <w:spacing w:before="60" w:after="60" w:line="240" w:lineRule="atLeast"/>
              <w:ind w:right="-108"/>
              <w:rPr>
                <w:rFonts w:ascii="Arial" w:hAnsi="Arial" w:cs="Arial"/>
              </w:rPr>
            </w:pPr>
            <w:r w:rsidRPr="00C80EBA">
              <w:rPr>
                <w:rFonts w:ascii="Arial" w:hAnsi="Arial"/>
              </w:rPr>
              <w:t>Site Web sur lequel l</w:t>
            </w:r>
            <w:r w:rsidR="00D671DB">
              <w:rPr>
                <w:rFonts w:ascii="Arial" w:hAnsi="Arial"/>
              </w:rPr>
              <w:t>’</w:t>
            </w:r>
            <w:r w:rsidRPr="00C80EBA">
              <w:rPr>
                <w:rFonts w:ascii="Arial" w:hAnsi="Arial"/>
              </w:rPr>
              <w:t>information peut être consultée</w:t>
            </w:r>
          </w:p>
        </w:tc>
        <w:tc>
          <w:tcPr>
            <w:tcW w:w="3254" w:type="dxa"/>
            <w:tcBorders>
              <w:top w:val="single" w:sz="4" w:space="0" w:color="auto"/>
              <w:left w:val="single" w:sz="4" w:space="0" w:color="auto"/>
              <w:bottom w:val="single" w:sz="4" w:space="0" w:color="auto"/>
              <w:right w:val="single" w:sz="4" w:space="0" w:color="auto"/>
            </w:tcBorders>
            <w:shd w:val="clear" w:color="auto" w:fill="auto"/>
          </w:tcPr>
          <w:p w14:paraId="47C5AAD0" w14:textId="77777777" w:rsidR="008C2676" w:rsidRPr="00C80EBA" w:rsidRDefault="008C2676" w:rsidP="000E6605">
            <w:pPr>
              <w:spacing w:before="60" w:after="60" w:line="240" w:lineRule="atLeast"/>
              <w:rPr>
                <w:rFonts w:ascii="Arial" w:hAnsi="Arial" w:cs="Arial"/>
              </w:rPr>
            </w:pPr>
          </w:p>
        </w:tc>
      </w:tr>
    </w:tbl>
    <w:p w14:paraId="47C5AAD2" w14:textId="77777777" w:rsidR="008C2676" w:rsidRPr="00C80EBA" w:rsidRDefault="008C2676" w:rsidP="008C2676">
      <w:pPr>
        <w:spacing w:after="0" w:line="240" w:lineRule="atLeast"/>
        <w:rPr>
          <w:rFonts w:ascii="Arial" w:hAnsi="Arial" w:cs="Arial"/>
        </w:rPr>
      </w:pPr>
    </w:p>
    <w:p w14:paraId="47C5AAD3" w14:textId="77777777" w:rsidR="008C2676" w:rsidRPr="00C80EBA" w:rsidRDefault="008C2676" w:rsidP="00157DC2">
      <w:pPr>
        <w:spacing w:after="0" w:line="240" w:lineRule="atLeast"/>
        <w:jc w:val="both"/>
        <w:rPr>
          <w:rFonts w:ascii="Arial" w:hAnsi="Arial" w:cs="Arial"/>
          <w:i/>
          <w:iCs/>
        </w:rPr>
      </w:pPr>
      <w:r w:rsidRPr="00C80EBA">
        <w:rPr>
          <w:rFonts w:ascii="Arial" w:hAnsi="Arial"/>
          <w:i/>
        </w:rPr>
        <w:t>Tableau 2 – Ta</w:t>
      </w:r>
      <w:r w:rsidR="00157DC2" w:rsidRPr="00C80EBA">
        <w:rPr>
          <w:rFonts w:ascii="Arial" w:hAnsi="Arial"/>
          <w:i/>
        </w:rPr>
        <w:t>rif</w:t>
      </w:r>
      <w:r w:rsidRPr="00C80EBA">
        <w:rPr>
          <w:rFonts w:ascii="Arial" w:hAnsi="Arial"/>
          <w:i/>
        </w:rPr>
        <w:t xml:space="preserve"> pour un envoi prioritaire de la poste aux lettres de 175 grammes de grand format (G) du régime intérieur</w:t>
      </w:r>
    </w:p>
    <w:p w14:paraId="47C5AAD4" w14:textId="77777777" w:rsidR="008C2676" w:rsidRPr="00C80EBA" w:rsidRDefault="008C2676" w:rsidP="008C2676">
      <w:pPr>
        <w:spacing w:after="0" w:line="240" w:lineRule="atLeast"/>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3260"/>
      </w:tblGrid>
      <w:tr w:rsidR="00115BF2" w:rsidRPr="00C80EBA" w14:paraId="47C5AAD7" w14:textId="77777777" w:rsidTr="004B6E0F">
        <w:tc>
          <w:tcPr>
            <w:tcW w:w="6374" w:type="dxa"/>
            <w:shd w:val="clear" w:color="auto" w:fill="auto"/>
          </w:tcPr>
          <w:p w14:paraId="47C5AAD5" w14:textId="12CAB548" w:rsidR="008C2676" w:rsidRPr="00C80EBA" w:rsidRDefault="00157DC2" w:rsidP="00A75615">
            <w:pPr>
              <w:spacing w:before="60" w:after="60" w:line="240" w:lineRule="atLeast"/>
              <w:rPr>
                <w:rFonts w:ascii="Arial" w:hAnsi="Arial" w:cs="Arial"/>
              </w:rPr>
            </w:pPr>
            <w:r w:rsidRPr="00C80EBA">
              <w:rPr>
                <w:rFonts w:ascii="Arial" w:hAnsi="Arial"/>
              </w:rPr>
              <w:t xml:space="preserve">Tarif </w:t>
            </w:r>
            <w:r w:rsidR="008C2676" w:rsidRPr="00C80EBA">
              <w:rPr>
                <w:rFonts w:ascii="Arial" w:hAnsi="Arial"/>
              </w:rPr>
              <w:t>en vigueur au 1</w:t>
            </w:r>
            <w:r w:rsidR="008C2676" w:rsidRPr="00C80EBA">
              <w:rPr>
                <w:rFonts w:ascii="Arial" w:hAnsi="Arial"/>
                <w:vertAlign w:val="superscript"/>
              </w:rPr>
              <w:t>er</w:t>
            </w:r>
            <w:r w:rsidR="008C2676" w:rsidRPr="00C80EBA">
              <w:rPr>
                <w:rFonts w:ascii="Arial" w:hAnsi="Arial"/>
              </w:rPr>
              <w:t xml:space="preserve"> </w:t>
            </w:r>
            <w:r w:rsidR="00565EE6" w:rsidRPr="00C80EBA">
              <w:rPr>
                <w:rFonts w:ascii="Arial" w:hAnsi="Arial"/>
              </w:rPr>
              <w:t>mai</w:t>
            </w:r>
            <w:r w:rsidR="008C2676" w:rsidRPr="00C80EBA">
              <w:rPr>
                <w:rFonts w:ascii="Arial" w:hAnsi="Arial"/>
              </w:rPr>
              <w:t xml:space="preserve"> </w:t>
            </w:r>
            <w:r w:rsidR="00FE03ED" w:rsidRPr="00C80EBA">
              <w:rPr>
                <w:rFonts w:ascii="Arial" w:hAnsi="Arial"/>
              </w:rPr>
              <w:t>202</w:t>
            </w:r>
            <w:r w:rsidR="00FE03ED">
              <w:rPr>
                <w:rFonts w:ascii="Arial" w:hAnsi="Arial"/>
              </w:rPr>
              <w:t>6</w:t>
            </w:r>
            <w:r w:rsidR="00FE03ED" w:rsidRPr="00C80EBA">
              <w:rPr>
                <w:rFonts w:ascii="Arial" w:hAnsi="Arial"/>
              </w:rPr>
              <w:t xml:space="preserve"> </w:t>
            </w:r>
            <w:r w:rsidR="008C2676" w:rsidRPr="00C80EBA">
              <w:rPr>
                <w:rFonts w:ascii="Arial" w:hAnsi="Arial"/>
              </w:rPr>
              <w:t>pour un envoi prioritaire de la poste aux lettres de 175 grammes de grand format (G) du régime intérieur (exprimée en monnaie nationale)</w:t>
            </w:r>
          </w:p>
        </w:tc>
        <w:tc>
          <w:tcPr>
            <w:tcW w:w="3260" w:type="dxa"/>
            <w:shd w:val="clear" w:color="auto" w:fill="auto"/>
          </w:tcPr>
          <w:p w14:paraId="47C5AAD6" w14:textId="77777777" w:rsidR="008C2676" w:rsidRPr="00C80EBA" w:rsidRDefault="008C2676" w:rsidP="000E6605">
            <w:pPr>
              <w:spacing w:before="60" w:after="60" w:line="240" w:lineRule="atLeast"/>
              <w:rPr>
                <w:rFonts w:ascii="Arial" w:hAnsi="Arial" w:cs="Arial"/>
              </w:rPr>
            </w:pPr>
          </w:p>
        </w:tc>
      </w:tr>
      <w:tr w:rsidR="00115BF2" w:rsidRPr="00C80EBA" w14:paraId="47C5AADA" w14:textId="77777777" w:rsidTr="004B6E0F">
        <w:tc>
          <w:tcPr>
            <w:tcW w:w="6374" w:type="dxa"/>
            <w:shd w:val="clear" w:color="auto" w:fill="auto"/>
          </w:tcPr>
          <w:p w14:paraId="47C5AAD8" w14:textId="36BE9746" w:rsidR="008C2676" w:rsidRPr="00C80EBA" w:rsidRDefault="008C2676" w:rsidP="004B6E0F">
            <w:pPr>
              <w:spacing w:before="60" w:after="60" w:line="240" w:lineRule="atLeast"/>
              <w:rPr>
                <w:rFonts w:ascii="Arial" w:hAnsi="Arial" w:cs="Arial"/>
              </w:rPr>
            </w:pPr>
            <w:r w:rsidRPr="00C80EBA">
              <w:rPr>
                <w:rFonts w:ascii="Arial" w:hAnsi="Arial"/>
              </w:rPr>
              <w:t>Pourcentage du tarif correspondan</w:t>
            </w:r>
            <w:r w:rsidR="00C776ED" w:rsidRPr="00C80EBA">
              <w:rPr>
                <w:rFonts w:ascii="Arial" w:hAnsi="Arial"/>
              </w:rPr>
              <w:t>t à la TVA ou à d</w:t>
            </w:r>
            <w:r w:rsidR="00D671DB">
              <w:rPr>
                <w:rFonts w:ascii="Arial" w:hAnsi="Arial"/>
              </w:rPr>
              <w:t>’</w:t>
            </w:r>
            <w:r w:rsidR="00C776ED" w:rsidRPr="00C80EBA">
              <w:rPr>
                <w:rFonts w:ascii="Arial" w:hAnsi="Arial"/>
              </w:rPr>
              <w:t>autres taxes</w:t>
            </w:r>
          </w:p>
        </w:tc>
        <w:tc>
          <w:tcPr>
            <w:tcW w:w="3260" w:type="dxa"/>
            <w:shd w:val="clear" w:color="auto" w:fill="auto"/>
          </w:tcPr>
          <w:p w14:paraId="47C5AAD9" w14:textId="77777777" w:rsidR="008C2676" w:rsidRPr="00C80EBA" w:rsidRDefault="008C2676" w:rsidP="000E6605">
            <w:pPr>
              <w:spacing w:before="60" w:after="60" w:line="240" w:lineRule="atLeast"/>
              <w:rPr>
                <w:rFonts w:ascii="Arial" w:hAnsi="Arial" w:cs="Arial"/>
              </w:rPr>
            </w:pPr>
          </w:p>
        </w:tc>
      </w:tr>
      <w:tr w:rsidR="00115BF2" w:rsidRPr="00C80EBA" w14:paraId="47C5AADD" w14:textId="77777777" w:rsidTr="004B6E0F">
        <w:tc>
          <w:tcPr>
            <w:tcW w:w="6374" w:type="dxa"/>
            <w:tcBorders>
              <w:top w:val="single" w:sz="4" w:space="0" w:color="auto"/>
              <w:left w:val="single" w:sz="4" w:space="0" w:color="auto"/>
              <w:bottom w:val="single" w:sz="4" w:space="0" w:color="auto"/>
              <w:right w:val="single" w:sz="4" w:space="0" w:color="auto"/>
            </w:tcBorders>
            <w:shd w:val="clear" w:color="auto" w:fill="auto"/>
          </w:tcPr>
          <w:p w14:paraId="47C5AADB" w14:textId="77777777" w:rsidR="008C2676" w:rsidRPr="00C80EBA" w:rsidRDefault="008C2676" w:rsidP="000E6605">
            <w:pPr>
              <w:spacing w:before="60" w:after="60" w:line="240" w:lineRule="atLeast"/>
              <w:rPr>
                <w:rFonts w:ascii="Arial" w:hAnsi="Arial" w:cs="Arial"/>
              </w:rPr>
            </w:pPr>
            <w:r w:rsidRPr="00C80EBA">
              <w:rPr>
                <w:rFonts w:ascii="Arial" w:hAnsi="Arial"/>
              </w:rPr>
              <w:t>Format/catégorie dans le service intérieur</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7C5AADC" w14:textId="77777777" w:rsidR="008C2676" w:rsidRPr="00C80EBA" w:rsidRDefault="008C2676" w:rsidP="000E6605">
            <w:pPr>
              <w:spacing w:before="60" w:after="60" w:line="240" w:lineRule="atLeast"/>
              <w:rPr>
                <w:rFonts w:ascii="Arial" w:hAnsi="Arial" w:cs="Arial"/>
              </w:rPr>
            </w:pPr>
          </w:p>
        </w:tc>
      </w:tr>
      <w:tr w:rsidR="00115BF2" w:rsidRPr="00C80EBA" w14:paraId="47C5AAE0" w14:textId="77777777" w:rsidTr="004B6E0F">
        <w:tc>
          <w:tcPr>
            <w:tcW w:w="6374" w:type="dxa"/>
            <w:tcBorders>
              <w:top w:val="single" w:sz="4" w:space="0" w:color="auto"/>
              <w:left w:val="single" w:sz="4" w:space="0" w:color="auto"/>
              <w:bottom w:val="single" w:sz="4" w:space="0" w:color="auto"/>
              <w:right w:val="single" w:sz="4" w:space="0" w:color="auto"/>
            </w:tcBorders>
            <w:shd w:val="clear" w:color="auto" w:fill="auto"/>
          </w:tcPr>
          <w:p w14:paraId="47C5AADE" w14:textId="77777777" w:rsidR="008C2676" w:rsidRPr="00C80EBA" w:rsidRDefault="008C2676" w:rsidP="004B6E0F">
            <w:pPr>
              <w:spacing w:before="60" w:after="60" w:line="240" w:lineRule="atLeast"/>
              <w:rPr>
                <w:rFonts w:ascii="Arial" w:hAnsi="Arial" w:cs="Arial"/>
              </w:rPr>
            </w:pPr>
            <w:r w:rsidRPr="00C80EBA">
              <w:rPr>
                <w:rFonts w:ascii="Arial" w:hAnsi="Arial"/>
              </w:rPr>
              <w:t xml:space="preserve">Échelon de poids auquel </w:t>
            </w:r>
            <w:r w:rsidR="00157DC2" w:rsidRPr="00C80EBA">
              <w:rPr>
                <w:rFonts w:ascii="Arial" w:hAnsi="Arial"/>
              </w:rPr>
              <w:t>le tarif</w:t>
            </w:r>
            <w:r w:rsidRPr="00C80EBA">
              <w:rPr>
                <w:rFonts w:ascii="Arial" w:hAnsi="Arial"/>
              </w:rPr>
              <w:t xml:space="preserve"> est applicable (g)</w:t>
            </w:r>
            <w:r w:rsidRPr="00C80EBA">
              <w:rPr>
                <w:rFonts w:ascii="Arial" w:hAnsi="Arial"/>
                <w:i/>
              </w:rPr>
              <w:t xml:space="preserve"> </w:t>
            </w:r>
            <w:r w:rsidRPr="00C80EBA">
              <w:rPr>
                <w:rFonts w:ascii="Arial" w:hAnsi="Arial"/>
                <w:iCs/>
              </w:rPr>
              <w:t>(p. ex. 101–250 g)</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7C5AADF" w14:textId="77777777" w:rsidR="008C2676" w:rsidRPr="00C80EBA" w:rsidRDefault="008C2676" w:rsidP="000E6605">
            <w:pPr>
              <w:spacing w:before="60" w:after="60" w:line="240" w:lineRule="atLeast"/>
              <w:rPr>
                <w:rFonts w:ascii="Arial" w:hAnsi="Arial" w:cs="Arial"/>
              </w:rPr>
            </w:pPr>
          </w:p>
        </w:tc>
      </w:tr>
      <w:tr w:rsidR="00115BF2" w:rsidRPr="00C80EBA" w14:paraId="47C5AAE6" w14:textId="77777777" w:rsidTr="004B6E0F">
        <w:tc>
          <w:tcPr>
            <w:tcW w:w="6374" w:type="dxa"/>
            <w:tcBorders>
              <w:top w:val="single" w:sz="4" w:space="0" w:color="auto"/>
              <w:left w:val="single" w:sz="4" w:space="0" w:color="auto"/>
              <w:bottom w:val="single" w:sz="4" w:space="0" w:color="auto"/>
              <w:right w:val="single" w:sz="4" w:space="0" w:color="auto"/>
            </w:tcBorders>
            <w:shd w:val="clear" w:color="auto" w:fill="auto"/>
          </w:tcPr>
          <w:p w14:paraId="47C5AAE4" w14:textId="77777777" w:rsidR="008C2676" w:rsidRPr="00C80EBA" w:rsidRDefault="008C2676" w:rsidP="000E6605">
            <w:pPr>
              <w:spacing w:before="60" w:after="60" w:line="240" w:lineRule="atLeast"/>
              <w:rPr>
                <w:rFonts w:ascii="Arial" w:hAnsi="Arial" w:cs="Arial"/>
              </w:rPr>
            </w:pPr>
            <w:r w:rsidRPr="00C80EBA">
              <w:rPr>
                <w:rFonts w:ascii="Arial" w:hAnsi="Arial"/>
              </w:rPr>
              <w:t>Dimensions maximales: largeur</w:t>
            </w:r>
            <w:r w:rsidR="00FA327D" w:rsidRPr="00C80EBA">
              <w:rPr>
                <w:rFonts w:ascii="Arial" w:hAnsi="Arial" w:cs="Arial"/>
              </w:rPr>
              <w:t>–</w:t>
            </w:r>
            <w:r w:rsidRPr="00C80EBA">
              <w:rPr>
                <w:rFonts w:ascii="Arial" w:hAnsi="Arial"/>
              </w:rPr>
              <w:t>longueur (mm)</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7C5AAE5" w14:textId="77777777" w:rsidR="008C2676" w:rsidRPr="00C80EBA" w:rsidRDefault="008C2676" w:rsidP="000E6605">
            <w:pPr>
              <w:spacing w:before="60" w:after="60" w:line="240" w:lineRule="atLeast"/>
              <w:rPr>
                <w:rFonts w:ascii="Arial" w:hAnsi="Arial" w:cs="Arial"/>
              </w:rPr>
            </w:pPr>
          </w:p>
        </w:tc>
      </w:tr>
      <w:tr w:rsidR="00115BF2" w:rsidRPr="00C80EBA" w14:paraId="47C5AAE9" w14:textId="77777777" w:rsidTr="004B6E0F">
        <w:tc>
          <w:tcPr>
            <w:tcW w:w="6374" w:type="dxa"/>
            <w:tcBorders>
              <w:top w:val="single" w:sz="4" w:space="0" w:color="auto"/>
              <w:left w:val="single" w:sz="4" w:space="0" w:color="auto"/>
              <w:bottom w:val="single" w:sz="4" w:space="0" w:color="auto"/>
              <w:right w:val="single" w:sz="4" w:space="0" w:color="auto"/>
            </w:tcBorders>
            <w:shd w:val="clear" w:color="auto" w:fill="auto"/>
          </w:tcPr>
          <w:p w14:paraId="47C5AAE7" w14:textId="77777777" w:rsidR="008C2676" w:rsidRPr="00C80EBA" w:rsidRDefault="008C2676" w:rsidP="000E6605">
            <w:pPr>
              <w:spacing w:before="60" w:after="60" w:line="240" w:lineRule="atLeast"/>
              <w:rPr>
                <w:rFonts w:ascii="Arial" w:hAnsi="Arial" w:cs="Arial"/>
              </w:rPr>
            </w:pPr>
            <w:r w:rsidRPr="00C80EBA">
              <w:rPr>
                <w:rFonts w:ascii="Arial" w:hAnsi="Arial"/>
              </w:rPr>
              <w:t>Épaisseur maximale (mm)</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7C5AAE8" w14:textId="77777777" w:rsidR="008C2676" w:rsidRPr="00C80EBA" w:rsidRDefault="008C2676" w:rsidP="000E6605">
            <w:pPr>
              <w:spacing w:before="60" w:after="60" w:line="240" w:lineRule="atLeast"/>
              <w:rPr>
                <w:rFonts w:ascii="Arial" w:hAnsi="Arial" w:cs="Arial"/>
              </w:rPr>
            </w:pPr>
          </w:p>
        </w:tc>
      </w:tr>
      <w:tr w:rsidR="008C2676" w:rsidRPr="00115BF2" w14:paraId="47C5AAF2" w14:textId="77777777" w:rsidTr="004B6E0F">
        <w:tc>
          <w:tcPr>
            <w:tcW w:w="6374" w:type="dxa"/>
            <w:tcBorders>
              <w:top w:val="single" w:sz="4" w:space="0" w:color="auto"/>
              <w:left w:val="single" w:sz="4" w:space="0" w:color="auto"/>
              <w:bottom w:val="single" w:sz="4" w:space="0" w:color="auto"/>
              <w:right w:val="single" w:sz="4" w:space="0" w:color="auto"/>
            </w:tcBorders>
            <w:shd w:val="clear" w:color="auto" w:fill="auto"/>
          </w:tcPr>
          <w:p w14:paraId="47C5AAF0" w14:textId="44088DD3" w:rsidR="008C2676" w:rsidRPr="00115BF2" w:rsidRDefault="008C2676" w:rsidP="008317C4">
            <w:pPr>
              <w:spacing w:before="60" w:after="60" w:line="240" w:lineRule="atLeast"/>
              <w:ind w:right="-108"/>
              <w:rPr>
                <w:rFonts w:ascii="Arial" w:hAnsi="Arial" w:cs="Arial"/>
              </w:rPr>
            </w:pPr>
            <w:r w:rsidRPr="00C80EBA">
              <w:rPr>
                <w:rFonts w:ascii="Arial" w:hAnsi="Arial"/>
              </w:rPr>
              <w:t>Site Web sur lequel l</w:t>
            </w:r>
            <w:r w:rsidR="00D671DB">
              <w:rPr>
                <w:rFonts w:ascii="Arial" w:hAnsi="Arial"/>
              </w:rPr>
              <w:t>’</w:t>
            </w:r>
            <w:r w:rsidRPr="00C80EBA">
              <w:rPr>
                <w:rFonts w:ascii="Arial" w:hAnsi="Arial"/>
              </w:rPr>
              <w:t>information peut être consultée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7C5AAF1" w14:textId="77777777" w:rsidR="008C2676" w:rsidRPr="00115BF2" w:rsidRDefault="008C2676" w:rsidP="000E6605">
            <w:pPr>
              <w:spacing w:before="60" w:after="60" w:line="240" w:lineRule="atLeast"/>
              <w:rPr>
                <w:rFonts w:ascii="Arial" w:hAnsi="Arial" w:cs="Arial"/>
              </w:rPr>
            </w:pPr>
          </w:p>
        </w:tc>
      </w:tr>
    </w:tbl>
    <w:p w14:paraId="47C5AAF3" w14:textId="77777777" w:rsidR="000E77C3" w:rsidRPr="00115BF2" w:rsidRDefault="000E77C3" w:rsidP="00BA032E">
      <w:pPr>
        <w:pStyle w:val="Textedebase"/>
      </w:pPr>
    </w:p>
    <w:sectPr w:rsidR="000E77C3" w:rsidRPr="00115BF2" w:rsidSect="00E95959">
      <w:headerReference w:type="even" r:id="rId14"/>
      <w:headerReference w:type="default" r:id="rId15"/>
      <w:headerReference w:type="first" r:id="rId16"/>
      <w:footnotePr>
        <w:numRestart w:val="eachPage"/>
      </w:footnotePr>
      <w:endnotePr>
        <w:numFmt w:val="decimal"/>
      </w:endnotePr>
      <w:pgSz w:w="11907" w:h="16840" w:code="9"/>
      <w:pgMar w:top="1134" w:right="851" w:bottom="426"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5AAF7" w14:textId="77777777" w:rsidR="004E0A04" w:rsidRDefault="004E0A04">
      <w:pPr>
        <w:spacing w:after="120"/>
        <w:rPr>
          <w:sz w:val="18"/>
        </w:rPr>
      </w:pPr>
      <w:r>
        <w:rPr>
          <w:sz w:val="18"/>
        </w:rPr>
        <w:t>____________</w:t>
      </w:r>
    </w:p>
  </w:endnote>
  <w:endnote w:type="continuationSeparator" w:id="0">
    <w:p w14:paraId="47C5AAF8" w14:textId="77777777" w:rsidR="004E0A04" w:rsidRDefault="004E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45 Helvetica Light">
    <w:altName w:val="Arial"/>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5AAF4" w14:textId="77777777" w:rsidR="004E0A04" w:rsidRDefault="004E0A04" w:rsidP="009E7ADC">
      <w:pPr>
        <w:rPr>
          <w:sz w:val="18"/>
        </w:rPr>
      </w:pPr>
    </w:p>
  </w:footnote>
  <w:footnote w:type="continuationSeparator" w:id="0">
    <w:p w14:paraId="47C5AAF5" w14:textId="77777777" w:rsidR="004E0A04" w:rsidRDefault="004E0A04" w:rsidP="009E7ADC"/>
  </w:footnote>
  <w:footnote w:type="continuationNotice" w:id="1">
    <w:p w14:paraId="47C5AAF6" w14:textId="77777777" w:rsidR="004E0A04" w:rsidRDefault="004E0A04" w:rsidP="004E2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AAF9" w14:textId="77777777" w:rsidR="00527FF5" w:rsidRDefault="00527FF5">
    <w:pPr>
      <w:jc w:val="center"/>
    </w:pPr>
    <w:r>
      <w:pgNum/>
    </w:r>
  </w:p>
  <w:p w14:paraId="47C5AAFA"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AAFB" w14:textId="77777777" w:rsidR="00527FF5" w:rsidRPr="008C2676" w:rsidRDefault="00527FF5" w:rsidP="008C2676">
    <w:pPr>
      <w:spacing w:after="0" w:line="240" w:lineRule="atLeast"/>
      <w:jc w:val="center"/>
      <w:rPr>
        <w:rFonts w:asciiTheme="minorBidi" w:hAnsiTheme="minorBidi" w:cstheme="minorBidi"/>
      </w:rPr>
    </w:pPr>
    <w:r w:rsidRPr="008C2676">
      <w:rPr>
        <w:rFonts w:asciiTheme="minorBidi" w:hAnsiTheme="minorBidi" w:cstheme="minorBidi"/>
      </w:rPr>
      <w:pgNum/>
    </w:r>
  </w:p>
  <w:p w14:paraId="47C5AAFC" w14:textId="77777777" w:rsidR="00527FF5" w:rsidRPr="008C2676" w:rsidRDefault="00527FF5" w:rsidP="008C2676">
    <w:pPr>
      <w:spacing w:after="0" w:line="240" w:lineRule="atLeast"/>
      <w:jc w:val="center"/>
      <w:rPr>
        <w:rFonts w:asciiTheme="minorBidi" w:hAnsiTheme="minorBidi" w:cstheme="minorBid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F87364" w:rsidRPr="00B4768F" w14:paraId="47C5AB00" w14:textId="77777777" w:rsidTr="00E7229A">
      <w:trPr>
        <w:trHeight w:val="1418"/>
      </w:trPr>
      <w:tc>
        <w:tcPr>
          <w:tcW w:w="3969" w:type="dxa"/>
        </w:tcPr>
        <w:p w14:paraId="47C5AAFD" w14:textId="77777777" w:rsidR="00F87364" w:rsidRPr="004415CF" w:rsidRDefault="00D66509" w:rsidP="00AE0D85">
          <w:pPr>
            <w:pStyle w:val="En-tte"/>
            <w:spacing w:before="20" w:after="1180"/>
            <w:rPr>
              <w:rFonts w:ascii="45 Helvetica Light" w:hAnsi="45 Helvetica Light"/>
              <w:sz w:val="18"/>
            </w:rPr>
          </w:pPr>
          <w:r w:rsidRPr="004415CF">
            <w:rPr>
              <w:rFonts w:ascii="45 Helvetica Light" w:hAnsi="45 Helvetica Light"/>
              <w:noProof/>
              <w:sz w:val="18"/>
              <w:lang w:val="fr-CH"/>
            </w:rPr>
            <w:drawing>
              <wp:inline distT="0" distB="0" distL="0" distR="0" wp14:anchorId="47C5AB02" wp14:editId="47C5AB03">
                <wp:extent cx="1752600" cy="419100"/>
                <wp:effectExtent l="0" t="0" r="0" b="0"/>
                <wp:docPr id="7" name="Image 7" descr="upu_logotype_1200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u_logotype_1200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inline>
            </w:drawing>
          </w:r>
        </w:p>
      </w:tc>
      <w:tc>
        <w:tcPr>
          <w:tcW w:w="5670" w:type="dxa"/>
        </w:tcPr>
        <w:p w14:paraId="47C5AAFE" w14:textId="55512E08" w:rsidR="0087514B" w:rsidRPr="004415CF" w:rsidRDefault="008C2676" w:rsidP="00E700E2">
          <w:pPr>
            <w:autoSpaceDE w:val="0"/>
            <w:autoSpaceDN w:val="0"/>
            <w:adjustRightInd w:val="0"/>
            <w:spacing w:after="0" w:line="240" w:lineRule="atLeast"/>
            <w:ind w:right="8"/>
            <w:jc w:val="right"/>
            <w:rPr>
              <w:rFonts w:ascii="Arial" w:hAnsi="Arial" w:cs="Arial"/>
              <w:lang w:eastAsia="fr-CH"/>
            </w:rPr>
          </w:pPr>
          <w:r w:rsidRPr="004415CF">
            <w:rPr>
              <w:rFonts w:ascii="Arial" w:hAnsi="Arial"/>
            </w:rPr>
            <w:t xml:space="preserve">Annexe </w:t>
          </w:r>
          <w:r w:rsidR="009256C3" w:rsidRPr="004415CF">
            <w:rPr>
              <w:rFonts w:ascii="Arial" w:hAnsi="Arial"/>
            </w:rPr>
            <w:t>1</w:t>
          </w:r>
          <w:r w:rsidRPr="004415CF">
            <w:rPr>
              <w:rFonts w:ascii="Arial" w:hAnsi="Arial"/>
            </w:rPr>
            <w:t xml:space="preserve"> à la lettre </w:t>
          </w:r>
          <w:r w:rsidR="0087514B" w:rsidRPr="004415CF">
            <w:rPr>
              <w:rFonts w:ascii="Arial" w:hAnsi="Arial" w:cs="Arial"/>
              <w:lang w:eastAsia="fr-CH"/>
            </w:rPr>
            <w:t>0426(DPRM.</w:t>
          </w:r>
          <w:r w:rsidR="00E700E2" w:rsidRPr="004415CF">
            <w:rPr>
              <w:rFonts w:ascii="Arial" w:hAnsi="Arial" w:cs="Arial"/>
              <w:lang w:eastAsia="fr-CH"/>
            </w:rPr>
            <w:t>PPRE.RDI)</w:t>
          </w:r>
          <w:r w:rsidR="00FE03ED" w:rsidRPr="004415CF">
            <w:rPr>
              <w:rFonts w:ascii="Arial" w:hAnsi="Arial" w:cs="Arial"/>
              <w:lang w:eastAsia="fr-CH"/>
            </w:rPr>
            <w:t>102</w:t>
          </w:r>
          <w:r w:rsidR="00FE03ED">
            <w:rPr>
              <w:rFonts w:ascii="Arial" w:hAnsi="Arial" w:cs="Arial"/>
              <w:lang w:eastAsia="fr-CH"/>
            </w:rPr>
            <w:t>5</w:t>
          </w:r>
        </w:p>
        <w:p w14:paraId="47C5AAFF" w14:textId="768C6355" w:rsidR="00F87364" w:rsidRPr="00B4768F" w:rsidRDefault="0087514B" w:rsidP="00E700E2">
          <w:pPr>
            <w:autoSpaceDE w:val="0"/>
            <w:autoSpaceDN w:val="0"/>
            <w:adjustRightInd w:val="0"/>
            <w:jc w:val="right"/>
          </w:pPr>
          <w:r w:rsidRPr="004415CF">
            <w:rPr>
              <w:rFonts w:ascii="Arial" w:hAnsi="Arial" w:cs="Arial"/>
              <w:lang w:eastAsia="fr-CH"/>
            </w:rPr>
            <w:t xml:space="preserve">du </w:t>
          </w:r>
          <w:r w:rsidR="00FE03ED">
            <w:rPr>
              <w:rFonts w:ascii="Arial" w:hAnsi="Arial" w:cs="Arial"/>
              <w:lang w:eastAsia="fr-CH"/>
            </w:rPr>
            <w:t>26</w:t>
          </w:r>
          <w:r w:rsidR="00907ADD">
            <w:rPr>
              <w:rFonts w:ascii="Arial" w:hAnsi="Arial" w:cs="Arial"/>
              <w:lang w:eastAsia="fr-CH"/>
            </w:rPr>
            <w:t xml:space="preserve"> </w:t>
          </w:r>
          <w:r w:rsidR="00B66F5F" w:rsidRPr="004415CF">
            <w:rPr>
              <w:rFonts w:ascii="Arial" w:hAnsi="Arial" w:cs="Arial"/>
              <w:lang w:eastAsia="fr-CH"/>
            </w:rPr>
            <w:t>mars</w:t>
          </w:r>
          <w:r w:rsidR="00E700E2" w:rsidRPr="004415CF">
            <w:rPr>
              <w:rFonts w:ascii="Arial" w:hAnsi="Arial" w:cs="Arial"/>
              <w:lang w:eastAsia="fr-CH"/>
            </w:rPr>
            <w:t xml:space="preserve"> </w:t>
          </w:r>
          <w:r w:rsidR="00FE03ED" w:rsidRPr="004415CF">
            <w:rPr>
              <w:rFonts w:ascii="Arial" w:hAnsi="Arial" w:cs="Arial"/>
              <w:lang w:eastAsia="fr-CH"/>
            </w:rPr>
            <w:t>202</w:t>
          </w:r>
          <w:r w:rsidR="00FE03ED">
            <w:rPr>
              <w:rFonts w:ascii="Arial" w:hAnsi="Arial" w:cs="Arial"/>
              <w:lang w:eastAsia="fr-CH"/>
            </w:rPr>
            <w:t>6</w:t>
          </w:r>
        </w:p>
      </w:tc>
    </w:tr>
  </w:tbl>
  <w:p w14:paraId="47C5AB01" w14:textId="77777777" w:rsidR="003104EA" w:rsidRPr="00A11845" w:rsidRDefault="003104EA" w:rsidP="00A11845">
    <w:pPr>
      <w:spacing w:after="0" w:line="20" w:lineRule="exact"/>
      <w:rPr>
        <w:rFonts w:asciiTheme="minorBidi" w:hAnsiTheme="minorBidi" w:cstheme="minorBid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5F1"/>
    <w:multiLevelType w:val="singleLevel"/>
    <w:tmpl w:val="6FDE3594"/>
    <w:lvl w:ilvl="0">
      <w:numFmt w:val="bullet"/>
      <w:pStyle w:val="Premierretrait"/>
      <w:lvlText w:val="–"/>
      <w:lvlJc w:val="left"/>
      <w:pPr>
        <w:tabs>
          <w:tab w:val="num" w:pos="567"/>
        </w:tabs>
        <w:ind w:left="567" w:hanging="567"/>
      </w:pPr>
      <w:rPr>
        <w:rFonts w:ascii="Arial" w:hAnsi="Arial" w:cs="Times New Roman" w:hint="default"/>
        <w:b w:val="0"/>
        <w:i w:val="0"/>
        <w:sz w:val="20"/>
        <w:szCs w:val="20"/>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792E75B4"/>
    <w:lvl w:ilvl="0">
      <w:numFmt w:val="bullet"/>
      <w:pStyle w:val="Troisimeretrait"/>
      <w:lvlText w:val="–"/>
      <w:lvlJc w:val="left"/>
      <w:pPr>
        <w:tabs>
          <w:tab w:val="num" w:pos="1701"/>
        </w:tabs>
        <w:ind w:left="1701" w:hanging="567"/>
      </w:pPr>
      <w:rPr>
        <w:rFonts w:ascii="Arial" w:hAnsi="Arial" w:cs="Times New Roman" w:hint="default"/>
        <w:b w:val="0"/>
        <w:i w:val="0"/>
        <w:sz w:val="20"/>
        <w:szCs w:val="20"/>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5"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6"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8"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9"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0"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1" w15:restartNumberingAfterBreak="0">
    <w:nsid w:val="6ADB125E"/>
    <w:multiLevelType w:val="singleLevel"/>
    <w:tmpl w:val="6C240948"/>
    <w:lvl w:ilvl="0">
      <w:numFmt w:val="bullet"/>
      <w:pStyle w:val="Deuximeretrait"/>
      <w:lvlText w:val=""/>
      <w:lvlJc w:val="left"/>
      <w:pPr>
        <w:tabs>
          <w:tab w:val="num" w:pos="1134"/>
        </w:tabs>
        <w:ind w:left="1134" w:hanging="567"/>
      </w:pPr>
      <w:rPr>
        <w:rFonts w:ascii="Symbol" w:hAnsi="Symbol" w:hint="default"/>
      </w:rPr>
    </w:lvl>
  </w:abstractNum>
  <w:abstractNum w:abstractNumId="12"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3"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4"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13"/>
  </w:num>
  <w:num w:numId="7">
    <w:abstractNumId w:val="14"/>
  </w:num>
  <w:num w:numId="8">
    <w:abstractNumId w:val="3"/>
  </w:num>
  <w:num w:numId="9">
    <w:abstractNumId w:val="1"/>
  </w:num>
  <w:num w:numId="10">
    <w:abstractNumId w:val="10"/>
  </w:num>
  <w:num w:numId="11">
    <w:abstractNumId w:val="9"/>
  </w:num>
  <w:num w:numId="12">
    <w:abstractNumId w:val="12"/>
  </w:num>
  <w:num w:numId="13">
    <w:abstractNumId w:val="0"/>
  </w:num>
  <w:num w:numId="14">
    <w:abstractNumId w:val="11"/>
  </w:num>
  <w:num w:numId="15">
    <w:abstractNumId w:val="2"/>
  </w:num>
  <w:num w:numId="16">
    <w:abstractNumId w:val="11"/>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fr-FR"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7825" fill="f" fillcolor="white" stroke="f">
      <v:fill color="white" on="f"/>
      <v:stroke on="f"/>
    </o:shapedefaults>
  </w:hdrShapeDefaults>
  <w:footnotePr>
    <w:numRestart w:val="eachPage"/>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76"/>
    <w:rsid w:val="000021DD"/>
    <w:rsid w:val="00004D2B"/>
    <w:rsid w:val="00005592"/>
    <w:rsid w:val="0002298F"/>
    <w:rsid w:val="00023669"/>
    <w:rsid w:val="00026EC5"/>
    <w:rsid w:val="00044FE3"/>
    <w:rsid w:val="000465C9"/>
    <w:rsid w:val="00083F8B"/>
    <w:rsid w:val="000B24C3"/>
    <w:rsid w:val="000B24D6"/>
    <w:rsid w:val="000D1BB1"/>
    <w:rsid w:val="000D4576"/>
    <w:rsid w:val="000D6979"/>
    <w:rsid w:val="000E0AB2"/>
    <w:rsid w:val="000E77C3"/>
    <w:rsid w:val="001006F4"/>
    <w:rsid w:val="00104F21"/>
    <w:rsid w:val="0011269C"/>
    <w:rsid w:val="00115BF2"/>
    <w:rsid w:val="00121A6F"/>
    <w:rsid w:val="001567C5"/>
    <w:rsid w:val="00157DC2"/>
    <w:rsid w:val="001612B7"/>
    <w:rsid w:val="00161F92"/>
    <w:rsid w:val="0017006D"/>
    <w:rsid w:val="00172757"/>
    <w:rsid w:val="00174235"/>
    <w:rsid w:val="00175E78"/>
    <w:rsid w:val="001813EE"/>
    <w:rsid w:val="001A4314"/>
    <w:rsid w:val="001B4F2C"/>
    <w:rsid w:val="001E2D30"/>
    <w:rsid w:val="0020457D"/>
    <w:rsid w:val="00232DCA"/>
    <w:rsid w:val="00261EAE"/>
    <w:rsid w:val="0026666C"/>
    <w:rsid w:val="0026706D"/>
    <w:rsid w:val="00272937"/>
    <w:rsid w:val="00282124"/>
    <w:rsid w:val="002826DD"/>
    <w:rsid w:val="0029168C"/>
    <w:rsid w:val="00295AC8"/>
    <w:rsid w:val="002A3142"/>
    <w:rsid w:val="002A663B"/>
    <w:rsid w:val="002A7342"/>
    <w:rsid w:val="002B1B7A"/>
    <w:rsid w:val="002B2A67"/>
    <w:rsid w:val="002B66E8"/>
    <w:rsid w:val="002C3576"/>
    <w:rsid w:val="002C4A31"/>
    <w:rsid w:val="002D01B1"/>
    <w:rsid w:val="002F7773"/>
    <w:rsid w:val="003002DC"/>
    <w:rsid w:val="003104EA"/>
    <w:rsid w:val="003118BD"/>
    <w:rsid w:val="00325076"/>
    <w:rsid w:val="00325132"/>
    <w:rsid w:val="00331C6E"/>
    <w:rsid w:val="003405FB"/>
    <w:rsid w:val="003407BC"/>
    <w:rsid w:val="00341624"/>
    <w:rsid w:val="00342CD6"/>
    <w:rsid w:val="00343FF6"/>
    <w:rsid w:val="00355163"/>
    <w:rsid w:val="00361DE6"/>
    <w:rsid w:val="00372B67"/>
    <w:rsid w:val="0037420A"/>
    <w:rsid w:val="003750AE"/>
    <w:rsid w:val="00376861"/>
    <w:rsid w:val="003B1F46"/>
    <w:rsid w:val="003E1065"/>
    <w:rsid w:val="003F6646"/>
    <w:rsid w:val="00410BA0"/>
    <w:rsid w:val="00422F57"/>
    <w:rsid w:val="004415CF"/>
    <w:rsid w:val="0046077D"/>
    <w:rsid w:val="004611D5"/>
    <w:rsid w:val="00471CE5"/>
    <w:rsid w:val="0049459C"/>
    <w:rsid w:val="004A31FB"/>
    <w:rsid w:val="004A6F3C"/>
    <w:rsid w:val="004B4286"/>
    <w:rsid w:val="004B6E0F"/>
    <w:rsid w:val="004C4EBF"/>
    <w:rsid w:val="004C6BEE"/>
    <w:rsid w:val="004D03CA"/>
    <w:rsid w:val="004D221E"/>
    <w:rsid w:val="004D2DA6"/>
    <w:rsid w:val="004E05F3"/>
    <w:rsid w:val="004E0A04"/>
    <w:rsid w:val="004E1BA3"/>
    <w:rsid w:val="004E1F28"/>
    <w:rsid w:val="004E2B3B"/>
    <w:rsid w:val="004E63E4"/>
    <w:rsid w:val="005057B4"/>
    <w:rsid w:val="0051701F"/>
    <w:rsid w:val="00527FF5"/>
    <w:rsid w:val="005345AF"/>
    <w:rsid w:val="00565476"/>
    <w:rsid w:val="00565EE6"/>
    <w:rsid w:val="00570EDB"/>
    <w:rsid w:val="005749CB"/>
    <w:rsid w:val="00577828"/>
    <w:rsid w:val="00590BBB"/>
    <w:rsid w:val="00593514"/>
    <w:rsid w:val="005A1FD5"/>
    <w:rsid w:val="005B20C7"/>
    <w:rsid w:val="005C2838"/>
    <w:rsid w:val="005C4EF2"/>
    <w:rsid w:val="005D36DD"/>
    <w:rsid w:val="005D36F8"/>
    <w:rsid w:val="005D42D7"/>
    <w:rsid w:val="005D7F27"/>
    <w:rsid w:val="005E5DC2"/>
    <w:rsid w:val="005F0892"/>
    <w:rsid w:val="005F4A1C"/>
    <w:rsid w:val="0060040B"/>
    <w:rsid w:val="0060162D"/>
    <w:rsid w:val="00637585"/>
    <w:rsid w:val="00643F80"/>
    <w:rsid w:val="00653717"/>
    <w:rsid w:val="0065395F"/>
    <w:rsid w:val="00653FFD"/>
    <w:rsid w:val="00654B91"/>
    <w:rsid w:val="00656A8B"/>
    <w:rsid w:val="006724B1"/>
    <w:rsid w:val="006A79AB"/>
    <w:rsid w:val="006B0794"/>
    <w:rsid w:val="006B1882"/>
    <w:rsid w:val="006C019C"/>
    <w:rsid w:val="006C47EF"/>
    <w:rsid w:val="006C7DC1"/>
    <w:rsid w:val="006D5D8D"/>
    <w:rsid w:val="006E36B1"/>
    <w:rsid w:val="0071461C"/>
    <w:rsid w:val="00716D50"/>
    <w:rsid w:val="00717D08"/>
    <w:rsid w:val="00756C4A"/>
    <w:rsid w:val="00757BB9"/>
    <w:rsid w:val="007601D8"/>
    <w:rsid w:val="00761DEC"/>
    <w:rsid w:val="0076291C"/>
    <w:rsid w:val="00765B70"/>
    <w:rsid w:val="0077420D"/>
    <w:rsid w:val="00780CBD"/>
    <w:rsid w:val="00783C7C"/>
    <w:rsid w:val="00793D44"/>
    <w:rsid w:val="007A2839"/>
    <w:rsid w:val="007B6036"/>
    <w:rsid w:val="007C679A"/>
    <w:rsid w:val="007D07CD"/>
    <w:rsid w:val="007D2933"/>
    <w:rsid w:val="007D6956"/>
    <w:rsid w:val="007E07AF"/>
    <w:rsid w:val="007E0A42"/>
    <w:rsid w:val="007F6E68"/>
    <w:rsid w:val="00815384"/>
    <w:rsid w:val="008317C4"/>
    <w:rsid w:val="00841F2B"/>
    <w:rsid w:val="00857B50"/>
    <w:rsid w:val="00874CC2"/>
    <w:rsid w:val="0087514B"/>
    <w:rsid w:val="0087570D"/>
    <w:rsid w:val="00881825"/>
    <w:rsid w:val="00894CD8"/>
    <w:rsid w:val="00897E26"/>
    <w:rsid w:val="008A32DA"/>
    <w:rsid w:val="008A5A68"/>
    <w:rsid w:val="008B269B"/>
    <w:rsid w:val="008B7E25"/>
    <w:rsid w:val="008C2676"/>
    <w:rsid w:val="008C54EA"/>
    <w:rsid w:val="008C642F"/>
    <w:rsid w:val="008D3810"/>
    <w:rsid w:val="008E54AA"/>
    <w:rsid w:val="008E7619"/>
    <w:rsid w:val="008F12A9"/>
    <w:rsid w:val="00907ADD"/>
    <w:rsid w:val="0091074C"/>
    <w:rsid w:val="009256C3"/>
    <w:rsid w:val="00932DC4"/>
    <w:rsid w:val="009434D3"/>
    <w:rsid w:val="00953938"/>
    <w:rsid w:val="009569DE"/>
    <w:rsid w:val="00957FCD"/>
    <w:rsid w:val="00974119"/>
    <w:rsid w:val="00987C2D"/>
    <w:rsid w:val="009B449A"/>
    <w:rsid w:val="009C5BD0"/>
    <w:rsid w:val="009D77AD"/>
    <w:rsid w:val="009E3DF9"/>
    <w:rsid w:val="009E4ABB"/>
    <w:rsid w:val="009E7ADC"/>
    <w:rsid w:val="009F110E"/>
    <w:rsid w:val="009F36E2"/>
    <w:rsid w:val="009F54AE"/>
    <w:rsid w:val="00A06C89"/>
    <w:rsid w:val="00A11845"/>
    <w:rsid w:val="00A418A0"/>
    <w:rsid w:val="00A455D1"/>
    <w:rsid w:val="00A53E1E"/>
    <w:rsid w:val="00A5792F"/>
    <w:rsid w:val="00A6703E"/>
    <w:rsid w:val="00A73891"/>
    <w:rsid w:val="00A75615"/>
    <w:rsid w:val="00A809D7"/>
    <w:rsid w:val="00A87953"/>
    <w:rsid w:val="00A92377"/>
    <w:rsid w:val="00AA01D2"/>
    <w:rsid w:val="00AA61ED"/>
    <w:rsid w:val="00AB7653"/>
    <w:rsid w:val="00AC2359"/>
    <w:rsid w:val="00AE0D85"/>
    <w:rsid w:val="00AE2BF2"/>
    <w:rsid w:val="00AE7106"/>
    <w:rsid w:val="00B00E3F"/>
    <w:rsid w:val="00B010D9"/>
    <w:rsid w:val="00B11447"/>
    <w:rsid w:val="00B1711E"/>
    <w:rsid w:val="00B232A0"/>
    <w:rsid w:val="00B262DA"/>
    <w:rsid w:val="00B30CB2"/>
    <w:rsid w:val="00B40E14"/>
    <w:rsid w:val="00B458DD"/>
    <w:rsid w:val="00B4768F"/>
    <w:rsid w:val="00B66F5F"/>
    <w:rsid w:val="00B7190D"/>
    <w:rsid w:val="00B838AD"/>
    <w:rsid w:val="00B86608"/>
    <w:rsid w:val="00BA032E"/>
    <w:rsid w:val="00BA404F"/>
    <w:rsid w:val="00BC0807"/>
    <w:rsid w:val="00BC1442"/>
    <w:rsid w:val="00BC4919"/>
    <w:rsid w:val="00BF2822"/>
    <w:rsid w:val="00BF2F28"/>
    <w:rsid w:val="00BF5A38"/>
    <w:rsid w:val="00BF5B9E"/>
    <w:rsid w:val="00BF7C70"/>
    <w:rsid w:val="00C0556D"/>
    <w:rsid w:val="00C0653D"/>
    <w:rsid w:val="00C06D24"/>
    <w:rsid w:val="00C17350"/>
    <w:rsid w:val="00C21452"/>
    <w:rsid w:val="00C2769E"/>
    <w:rsid w:val="00C35110"/>
    <w:rsid w:val="00C402AE"/>
    <w:rsid w:val="00C65469"/>
    <w:rsid w:val="00C74B88"/>
    <w:rsid w:val="00C776ED"/>
    <w:rsid w:val="00C80EBA"/>
    <w:rsid w:val="00C903B8"/>
    <w:rsid w:val="00C91301"/>
    <w:rsid w:val="00C91C2F"/>
    <w:rsid w:val="00CA3D20"/>
    <w:rsid w:val="00CB2FA6"/>
    <w:rsid w:val="00CC0402"/>
    <w:rsid w:val="00CC3161"/>
    <w:rsid w:val="00CC7367"/>
    <w:rsid w:val="00CD03E7"/>
    <w:rsid w:val="00CE2270"/>
    <w:rsid w:val="00D154F8"/>
    <w:rsid w:val="00D3589B"/>
    <w:rsid w:val="00D4752F"/>
    <w:rsid w:val="00D50254"/>
    <w:rsid w:val="00D605CC"/>
    <w:rsid w:val="00D608B5"/>
    <w:rsid w:val="00D61B31"/>
    <w:rsid w:val="00D64064"/>
    <w:rsid w:val="00D66509"/>
    <w:rsid w:val="00D671DB"/>
    <w:rsid w:val="00D714C2"/>
    <w:rsid w:val="00D73262"/>
    <w:rsid w:val="00D73A0A"/>
    <w:rsid w:val="00DA23C3"/>
    <w:rsid w:val="00DA49AB"/>
    <w:rsid w:val="00DA646A"/>
    <w:rsid w:val="00DB7EC0"/>
    <w:rsid w:val="00DC4872"/>
    <w:rsid w:val="00DC4D86"/>
    <w:rsid w:val="00DE7E2D"/>
    <w:rsid w:val="00E048A5"/>
    <w:rsid w:val="00E10CD5"/>
    <w:rsid w:val="00E270C8"/>
    <w:rsid w:val="00E31D00"/>
    <w:rsid w:val="00E3448B"/>
    <w:rsid w:val="00E355DE"/>
    <w:rsid w:val="00E4248B"/>
    <w:rsid w:val="00E700E2"/>
    <w:rsid w:val="00E7229A"/>
    <w:rsid w:val="00E72B05"/>
    <w:rsid w:val="00E73FF3"/>
    <w:rsid w:val="00E76C5C"/>
    <w:rsid w:val="00E9360A"/>
    <w:rsid w:val="00E93E52"/>
    <w:rsid w:val="00E95959"/>
    <w:rsid w:val="00EA37E6"/>
    <w:rsid w:val="00EA5222"/>
    <w:rsid w:val="00ED183A"/>
    <w:rsid w:val="00ED63F7"/>
    <w:rsid w:val="00ED6707"/>
    <w:rsid w:val="00ED7E1E"/>
    <w:rsid w:val="00EE2A54"/>
    <w:rsid w:val="00F11A72"/>
    <w:rsid w:val="00F15EB7"/>
    <w:rsid w:val="00F33A54"/>
    <w:rsid w:val="00F4284D"/>
    <w:rsid w:val="00F521BF"/>
    <w:rsid w:val="00F60EFE"/>
    <w:rsid w:val="00F6214A"/>
    <w:rsid w:val="00F62978"/>
    <w:rsid w:val="00F639BA"/>
    <w:rsid w:val="00F848AD"/>
    <w:rsid w:val="00F87364"/>
    <w:rsid w:val="00F87A5B"/>
    <w:rsid w:val="00F963C3"/>
    <w:rsid w:val="00FA2EFC"/>
    <w:rsid w:val="00FA327D"/>
    <w:rsid w:val="00FB1D93"/>
    <w:rsid w:val="00FB237A"/>
    <w:rsid w:val="00FC3282"/>
    <w:rsid w:val="00FC5E68"/>
    <w:rsid w:val="00FD4FD5"/>
    <w:rsid w:val="00FE03ED"/>
    <w:rsid w:val="00FE1E79"/>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fill="f" fillcolor="white" stroke="f">
      <v:fill color="white" on="f"/>
      <v:stroke on="f"/>
    </o:shapedefaults>
    <o:shapelayout v:ext="edit">
      <o:idmap v:ext="edit" data="1"/>
    </o:shapelayout>
  </w:shapeDefaults>
  <w:decimalSymbol w:val=","/>
  <w:listSeparator w:val=";"/>
  <w14:docId w14:val="47C5AA77"/>
  <w15:docId w15:val="{4B7AAFD7-1BAA-40BF-8E31-6E399347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2676"/>
    <w:pPr>
      <w:spacing w:after="200" w:line="276" w:lineRule="auto"/>
    </w:pPr>
    <w:rPr>
      <w:lang w:val="fr-FR" w:eastAsia="fr-FR" w:bidi="fr-FR"/>
    </w:rPr>
  </w:style>
  <w:style w:type="paragraph" w:styleId="Titre1">
    <w:name w:val="heading 1"/>
    <w:basedOn w:val="Normal"/>
    <w:next w:val="Textedebase"/>
    <w:qFormat/>
    <w:pPr>
      <w:spacing w:after="0" w:line="240" w:lineRule="atLeast"/>
      <w:ind w:left="567" w:hanging="567"/>
      <w:jc w:val="both"/>
      <w:outlineLvl w:val="0"/>
    </w:pPr>
    <w:rPr>
      <w:rFonts w:ascii="Arial" w:hAnsi="Arial"/>
      <w:b/>
      <w:bCs/>
      <w:lang w:eastAsia="fr-CH" w:bidi="ar-SA"/>
    </w:rPr>
  </w:style>
  <w:style w:type="paragraph" w:styleId="Titre2">
    <w:name w:val="heading 2"/>
    <w:basedOn w:val="Normal"/>
    <w:next w:val="Textedebase"/>
    <w:qFormat/>
    <w:pPr>
      <w:spacing w:after="0" w:line="240" w:lineRule="atLeast"/>
      <w:ind w:left="567" w:hanging="567"/>
      <w:jc w:val="both"/>
      <w:outlineLvl w:val="1"/>
    </w:pPr>
    <w:rPr>
      <w:rFonts w:ascii="Arial" w:hAnsi="Arial"/>
      <w:i/>
      <w:iCs/>
      <w:lang w:eastAsia="fr-CH" w:bidi="ar-SA"/>
    </w:rPr>
  </w:style>
  <w:style w:type="paragraph" w:styleId="Titre3">
    <w:name w:val="heading 3"/>
    <w:basedOn w:val="Normal"/>
    <w:next w:val="Textedebase"/>
    <w:qFormat/>
    <w:pPr>
      <w:tabs>
        <w:tab w:val="left" w:pos="567"/>
      </w:tabs>
      <w:spacing w:after="0" w:line="240" w:lineRule="atLeast"/>
      <w:jc w:val="both"/>
      <w:outlineLvl w:val="2"/>
    </w:pPr>
    <w:rPr>
      <w:rFonts w:ascii="Arial" w:hAnsi="Arial"/>
      <w:lang w:eastAsia="fr-CH" w:bidi="ar-SA"/>
    </w:rPr>
  </w:style>
  <w:style w:type="paragraph" w:styleId="Titre4">
    <w:name w:val="heading 4"/>
    <w:basedOn w:val="Normal"/>
    <w:next w:val="Normal"/>
    <w:qFormat/>
    <w:rsid w:val="008D3810"/>
    <w:pPr>
      <w:spacing w:after="0" w:line="240" w:lineRule="atLeast"/>
      <w:outlineLvl w:val="3"/>
    </w:pPr>
    <w:rPr>
      <w:rFonts w:ascii="Arial" w:hAnsi="Arial" w:cs="Arial"/>
      <w:b/>
      <w:bCs/>
      <w:lang w:eastAsia="fr-CH"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sz w:val="20"/>
      <w:szCs w:val="20"/>
      <w:vertAlign w:val="superscript"/>
    </w:rPr>
  </w:style>
  <w:style w:type="paragraph" w:customStyle="1" w:styleId="2Texte">
    <w:name w:val="2 (Texte)"/>
    <w:basedOn w:val="Normal"/>
    <w:pPr>
      <w:spacing w:after="0" w:line="240" w:lineRule="atLeast"/>
      <w:jc w:val="both"/>
    </w:pPr>
    <w:rPr>
      <w:rFonts w:ascii="Arial" w:hAnsi="Arial"/>
      <w:snapToGrid w:val="0"/>
      <w:lang w:bidi="ar-SA"/>
    </w:rPr>
  </w:style>
  <w:style w:type="paragraph" w:customStyle="1" w:styleId="Textedebase">
    <w:name w:val="Texte de base"/>
    <w:basedOn w:val="Normal"/>
    <w:rsid w:val="00AE0D85"/>
    <w:pPr>
      <w:spacing w:after="0" w:line="240" w:lineRule="atLeast"/>
      <w:jc w:val="both"/>
    </w:pPr>
    <w:rPr>
      <w:rFonts w:ascii="Arial" w:hAnsi="Arial"/>
      <w:lang w:eastAsia="fr-CH" w:bidi="ar-SA"/>
    </w:rPr>
  </w:style>
  <w:style w:type="paragraph" w:customStyle="1" w:styleId="Premierretrait">
    <w:name w:val="Premier retrait"/>
    <w:basedOn w:val="Textedebase"/>
    <w:rsid w:val="009E4ABB"/>
    <w:pPr>
      <w:numPr>
        <w:numId w:val="17"/>
      </w:numPr>
      <w:spacing w:before="120"/>
    </w:pPr>
  </w:style>
  <w:style w:type="paragraph" w:customStyle="1" w:styleId="Deuximeretrait">
    <w:name w:val="Deuxième retrait"/>
    <w:basedOn w:val="Textedebase"/>
    <w:pPr>
      <w:numPr>
        <w:numId w:val="16"/>
      </w:numPr>
      <w:spacing w:before="120"/>
    </w:pPr>
  </w:style>
  <w:style w:type="paragraph" w:customStyle="1" w:styleId="Troisimeretrait">
    <w:name w:val="Troisième retrait"/>
    <w:basedOn w:val="Textedebase"/>
    <w:rsid w:val="009E4ABB"/>
    <w:pPr>
      <w:numPr>
        <w:numId w:val="18"/>
      </w:numPr>
      <w:spacing w:before="120"/>
    </w:pPr>
  </w:style>
  <w:style w:type="paragraph" w:styleId="Notedebasdepage">
    <w:name w:val="footnote text"/>
    <w:basedOn w:val="Normal"/>
    <w:semiHidden/>
    <w:rsid w:val="00ED6707"/>
    <w:pPr>
      <w:spacing w:after="0" w:line="240" w:lineRule="auto"/>
      <w:jc w:val="both"/>
    </w:pPr>
    <w:rPr>
      <w:rFonts w:ascii="Arial" w:hAnsi="Arial"/>
      <w:sz w:val="18"/>
      <w:szCs w:val="18"/>
      <w:lang w:eastAsia="fr-CH" w:bidi="ar-SA"/>
    </w:rPr>
  </w:style>
  <w:style w:type="paragraph" w:styleId="Pieddepage">
    <w:name w:val="footer"/>
    <w:basedOn w:val="Normal"/>
    <w:rsid w:val="009F110E"/>
    <w:pPr>
      <w:tabs>
        <w:tab w:val="center" w:pos="4536"/>
        <w:tab w:val="right" w:pos="9072"/>
      </w:tabs>
      <w:spacing w:after="0" w:line="240" w:lineRule="atLeast"/>
    </w:pPr>
    <w:rPr>
      <w:rFonts w:ascii="Arial" w:hAnsi="Arial"/>
      <w:lang w:eastAsia="fr-CH" w:bidi="ar-SA"/>
    </w:rPr>
  </w:style>
  <w:style w:type="paragraph" w:styleId="En-tte">
    <w:name w:val="header"/>
    <w:basedOn w:val="Normal"/>
    <w:pPr>
      <w:tabs>
        <w:tab w:val="center" w:pos="4536"/>
        <w:tab w:val="right" w:pos="9072"/>
      </w:tabs>
      <w:spacing w:after="0" w:line="240" w:lineRule="atLeast"/>
    </w:pPr>
    <w:rPr>
      <w:rFonts w:ascii="Arial" w:hAnsi="Arial"/>
      <w:lang w:eastAsia="fr-CH" w:bidi="ar-SA"/>
    </w:rPr>
  </w:style>
  <w:style w:type="paragraph" w:styleId="Notedefin">
    <w:name w:val="endnote text"/>
    <w:basedOn w:val="Normal"/>
    <w:semiHidden/>
    <w:pPr>
      <w:spacing w:after="0" w:line="240" w:lineRule="auto"/>
      <w:ind w:left="284" w:hanging="284"/>
      <w:jc w:val="both"/>
    </w:pPr>
    <w:rPr>
      <w:rFonts w:ascii="Arial" w:hAnsi="Arial"/>
      <w:sz w:val="18"/>
      <w:szCs w:val="18"/>
      <w:lang w:eastAsia="fr-CH" w:bidi="ar-SA"/>
    </w:rPr>
  </w:style>
  <w:style w:type="character" w:styleId="Appeldenotedefin">
    <w:name w:val="endnote reference"/>
    <w:semiHidden/>
    <w:rPr>
      <w:sz w:val="20"/>
      <w:szCs w:val="20"/>
      <w:vertAlign w:val="superscript"/>
    </w:rPr>
  </w:style>
  <w:style w:type="paragraph" w:customStyle="1" w:styleId="0Minute">
    <w:name w:val="0 Minute"/>
    <w:basedOn w:val="Normal"/>
    <w:rsid w:val="008E54AA"/>
    <w:pPr>
      <w:spacing w:after="0" w:line="240" w:lineRule="atLeast"/>
    </w:pPr>
    <w:rPr>
      <w:rFonts w:ascii="Arial" w:hAnsi="Arial"/>
      <w:vanish/>
      <w:lang w:eastAsia="fr-CH" w:bidi="ar-SA"/>
    </w:rPr>
  </w:style>
  <w:style w:type="character" w:styleId="Lienhypertexte">
    <w:name w:val="Hyperlink"/>
    <w:rsid w:val="009F110E"/>
    <w:rPr>
      <w:rFonts w:ascii="Arial" w:hAnsi="Arial"/>
      <w:color w:val="auto"/>
      <w:u w:val="none"/>
    </w:rPr>
  </w:style>
  <w:style w:type="paragraph" w:styleId="Textedebulles">
    <w:name w:val="Balloon Text"/>
    <w:basedOn w:val="Normal"/>
    <w:semiHidden/>
    <w:rsid w:val="00A5792F"/>
    <w:pPr>
      <w:spacing w:after="0" w:line="240" w:lineRule="atLeast"/>
    </w:pPr>
    <w:rPr>
      <w:rFonts w:ascii="Tahoma" w:hAnsi="Tahoma" w:cs="Tahoma"/>
      <w:sz w:val="16"/>
      <w:szCs w:val="16"/>
      <w:lang w:eastAsia="fr-CH" w:bidi="ar-SA"/>
    </w:rPr>
  </w:style>
  <w:style w:type="paragraph" w:customStyle="1" w:styleId="Barredanslamarge">
    <w:name w:val="Barre dans la marge"/>
    <w:basedOn w:val="Normal"/>
    <w:rsid w:val="00593514"/>
    <w:pPr>
      <w:autoSpaceDE w:val="0"/>
      <w:autoSpaceDN w:val="0"/>
      <w:adjustRightInd w:val="0"/>
      <w:spacing w:after="0" w:line="240" w:lineRule="atLeast"/>
      <w:jc w:val="both"/>
    </w:pPr>
    <w:rPr>
      <w:rFonts w:ascii="Arial" w:hAnsi="Arial" w:cs="Arial"/>
      <w:lang w:eastAsia="fr-CH" w:bidi="ar-SA"/>
    </w:rPr>
  </w:style>
  <w:style w:type="table" w:styleId="Grilledutableau">
    <w:name w:val="Table Grid"/>
    <w:basedOn w:val="TableauNormal"/>
    <w:uiPriority w:val="59"/>
    <w:rsid w:val="00987C2D"/>
    <w:rPr>
      <w:rFonts w:ascii="Arial" w:hAnsi="Arial" w:cs="Arial"/>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Textedebase">
    <w:name w:val="0 Texte de base"/>
    <w:basedOn w:val="Normal"/>
    <w:rsid w:val="00FE03ED"/>
    <w:pPr>
      <w:spacing w:after="0" w:line="240" w:lineRule="atLeast"/>
      <w:jc w:val="both"/>
    </w:pPr>
    <w:rPr>
      <w:rFonts w:ascii="Arial" w:hAnsi="Arial"/>
      <w:lang w:val="en-GB" w:eastAsia="fr-CH" w:bidi="ar-SA"/>
    </w:rPr>
  </w:style>
  <w:style w:type="paragraph" w:customStyle="1" w:styleId="1Premierretrait">
    <w:name w:val="1 Premier retrait"/>
    <w:basedOn w:val="0Textedebase"/>
    <w:rsid w:val="00B232A0"/>
    <w:pPr>
      <w:tabs>
        <w:tab w:val="num" w:pos="567"/>
      </w:tabs>
      <w:spacing w:before="120"/>
      <w:ind w:left="567" w:hanging="567"/>
    </w:pPr>
    <w:rPr>
      <w:lang w:val="fr-FR"/>
    </w:rPr>
  </w:style>
  <w:style w:type="character" w:styleId="Mentionnonrsolue">
    <w:name w:val="Unresolved Mention"/>
    <w:basedOn w:val="Policepardfaut"/>
    <w:uiPriority w:val="99"/>
    <w:semiHidden/>
    <w:unhideWhenUsed/>
    <w:rsid w:val="00907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pinozav@upu.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skeviciusv@upu.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rveymonkey.com/r/B3833C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862F97-31C4-439E-9DA6-DA397BA208F8}">
  <ds:schemaRefs>
    <ds:schemaRef ds:uri="http://purl.org/dc/elements/1.1/"/>
    <ds:schemaRef ds:uri="http://schemas.microsoft.com/office/infopath/2007/PartnerControls"/>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7f4fe5ba-0e9c-43fa-b7dd-de1717dc009a"/>
  </ds:schemaRefs>
</ds:datastoreItem>
</file>

<file path=customXml/itemProps2.xml><?xml version="1.0" encoding="utf-8"?>
<ds:datastoreItem xmlns:ds="http://schemas.openxmlformats.org/officeDocument/2006/customXml" ds:itemID="{C99D3F98-9710-494A-A6DC-928247DB357F}">
  <ds:schemaRefs>
    <ds:schemaRef ds:uri="http://schemas.openxmlformats.org/officeDocument/2006/bibliography"/>
  </ds:schemaRefs>
</ds:datastoreItem>
</file>

<file path=customXml/itemProps3.xml><?xml version="1.0" encoding="utf-8"?>
<ds:datastoreItem xmlns:ds="http://schemas.openxmlformats.org/officeDocument/2006/customXml" ds:itemID="{3F55FEF7-EF29-4227-8D9F-37AA7D79B102}">
  <ds:schemaRefs>
    <ds:schemaRef ds:uri="http://schemas.microsoft.com/sharepoint/v3/contenttype/forms"/>
  </ds:schemaRefs>
</ds:datastoreItem>
</file>

<file path=customXml/itemProps4.xml><?xml version="1.0" encoding="utf-8"?>
<ds:datastoreItem xmlns:ds="http://schemas.openxmlformats.org/officeDocument/2006/customXml" ds:itemID="{70BA1FDD-8994-4998-B26B-D026058B074D}"/>
</file>

<file path=docProps/app.xml><?xml version="1.0" encoding="utf-8"?>
<Properties xmlns="http://schemas.openxmlformats.org/officeDocument/2006/extended-properties" xmlns:vt="http://schemas.openxmlformats.org/officeDocument/2006/docPropsVTypes">
  <Template>Normal.dotm</Template>
  <TotalTime>13</TotalTime>
  <Pages>2</Pages>
  <Words>619</Words>
  <Characters>3657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X</vt:lpstr>
    </vt:vector>
  </TitlesOfParts>
  <Company>Union postal universelle (UPU)</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CLEMENT martha</dc:creator>
  <cp:lastModifiedBy>PLATTET alexandre</cp:lastModifiedBy>
  <cp:revision>6</cp:revision>
  <cp:lastPrinted>2018-04-13T13:32:00Z</cp:lastPrinted>
  <dcterms:created xsi:type="dcterms:W3CDTF">2026-03-24T07:49:00Z</dcterms:created>
  <dcterms:modified xsi:type="dcterms:W3CDTF">2026-03-24T09:53:00Z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4e01e411-0f96-4b09-879f-20d2ca4f2638</vt:lpwstr>
  </property>
  <property fmtid="{D5CDD505-2E9C-101B-9397-08002B2CF9AE}" pid="3" name="ContentTypeId">
    <vt:lpwstr>0x010100058EFBD0D35E49E793D404E779D0CFC200A99B90ACDC5B244BA2146F32FB8F9E12</vt:lpwstr>
  </property>
</Properties>
</file>