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91D7" w14:textId="197F52D1" w:rsidR="00767DD4" w:rsidRPr="00B740CB" w:rsidRDefault="00767DD4" w:rsidP="00792D47">
      <w:pPr>
        <w:pStyle w:val="0Textedebase"/>
        <w:rPr>
          <w:b/>
          <w:bCs/>
        </w:rPr>
      </w:pPr>
      <w:r w:rsidRPr="00B740CB">
        <w:rPr>
          <w:b/>
          <w:bCs/>
        </w:rPr>
        <w:t xml:space="preserve">Notification des taux autodéclarés applicables aux </w:t>
      </w:r>
      <w:r w:rsidR="00E73E1A" w:rsidRPr="00B740CB">
        <w:rPr>
          <w:b/>
          <w:bCs/>
        </w:rPr>
        <w:t xml:space="preserve">petits paquets (E) </w:t>
      </w:r>
      <w:r w:rsidRPr="00B740CB">
        <w:rPr>
          <w:b/>
          <w:bCs/>
        </w:rPr>
        <w:t>de la poste aux lettres avec effet à compter du 1</w:t>
      </w:r>
      <w:r w:rsidRPr="00B740CB">
        <w:rPr>
          <w:b/>
          <w:bCs/>
          <w:vertAlign w:val="superscript"/>
        </w:rPr>
        <w:t>er</w:t>
      </w:r>
      <w:r w:rsidRPr="00B740CB">
        <w:rPr>
          <w:b/>
          <w:bCs/>
        </w:rPr>
        <w:t xml:space="preserve"> janvier </w:t>
      </w:r>
      <w:r w:rsidR="00E73E1A" w:rsidRPr="00B740CB">
        <w:rPr>
          <w:b/>
          <w:bCs/>
        </w:rPr>
        <w:t>2027</w:t>
      </w:r>
    </w:p>
    <w:p w14:paraId="64C9ABD6" w14:textId="77777777" w:rsidR="00767DD4" w:rsidRPr="00B740CB" w:rsidRDefault="00767DD4" w:rsidP="00767DD4">
      <w:pPr>
        <w:pStyle w:val="0Textedebase"/>
      </w:pPr>
    </w:p>
    <w:tbl>
      <w:tblPr>
        <w:tblStyle w:val="Grilledutableau"/>
        <w:tblW w:w="0" w:type="auto"/>
        <w:tblLook w:val="04A0" w:firstRow="1" w:lastRow="0" w:firstColumn="1" w:lastColumn="0" w:noHBand="0" w:noVBand="1"/>
      </w:tblPr>
      <w:tblGrid>
        <w:gridCol w:w="9628"/>
      </w:tblGrid>
      <w:tr w:rsidR="00767DD4" w:rsidRPr="00B740CB" w14:paraId="5BBD229F" w14:textId="77777777" w:rsidTr="00457E32">
        <w:tc>
          <w:tcPr>
            <w:tcW w:w="9628" w:type="dxa"/>
            <w:vAlign w:val="center"/>
          </w:tcPr>
          <w:p w14:paraId="429EA8C3" w14:textId="152EF94A" w:rsidR="00767DD4" w:rsidRPr="00B740CB" w:rsidRDefault="00767DD4" w:rsidP="001D34C2">
            <w:pPr>
              <w:pStyle w:val="0Textedebase"/>
              <w:spacing w:before="60" w:after="60"/>
            </w:pPr>
            <w:r w:rsidRPr="00B740CB">
              <w:t xml:space="preserve">Note: </w:t>
            </w:r>
            <w:r w:rsidR="00E73E1A" w:rsidRPr="00B740CB">
              <w:t>le présent questionnaire doit être rempli et renvoyé par les opérateurs désignés.</w:t>
            </w:r>
          </w:p>
        </w:tc>
      </w:tr>
    </w:tbl>
    <w:p w14:paraId="01E6092E" w14:textId="2AB84B21" w:rsidR="00767DD4" w:rsidRPr="00B740CB" w:rsidRDefault="00767DD4" w:rsidP="00767DD4">
      <w:pPr>
        <w:pStyle w:val="0Textedebase"/>
      </w:pPr>
    </w:p>
    <w:p w14:paraId="51D49CFA" w14:textId="5DF9CF7B" w:rsidR="0034252F" w:rsidRPr="00B740CB" w:rsidRDefault="0034252F" w:rsidP="0034252F">
      <w:pPr>
        <w:pStyle w:val="0Textedebase"/>
        <w:rPr>
          <w:rFonts w:cs="Arial"/>
          <w:bCs/>
        </w:rPr>
      </w:pPr>
      <w:r w:rsidRPr="00B740CB">
        <w:rPr>
          <w:rFonts w:cs="Arial"/>
          <w:bCs/>
        </w:rPr>
        <w:t>La version électronique d</w:t>
      </w:r>
      <w:r w:rsidR="008F7BFE" w:rsidRPr="00B740CB">
        <w:rPr>
          <w:rFonts w:cs="Arial"/>
          <w:bCs/>
        </w:rPr>
        <w:t>e ce</w:t>
      </w:r>
      <w:r w:rsidRPr="00B740CB">
        <w:rPr>
          <w:rFonts w:cs="Arial"/>
          <w:bCs/>
        </w:rPr>
        <w:t xml:space="preserve"> questionnaire est disponible </w:t>
      </w:r>
      <w:r w:rsidR="008F7BFE" w:rsidRPr="00B740CB">
        <w:rPr>
          <w:rFonts w:cs="Arial"/>
          <w:bCs/>
        </w:rPr>
        <w:t>en ligne</w:t>
      </w:r>
      <w:r w:rsidRPr="00B740CB">
        <w:rPr>
          <w:rFonts w:cs="Arial"/>
          <w:bCs/>
        </w:rPr>
        <w:t xml:space="preserve"> </w:t>
      </w:r>
      <w:r w:rsidR="008F7BFE" w:rsidRPr="00B740CB">
        <w:rPr>
          <w:rFonts w:cs="Arial"/>
          <w:bCs/>
        </w:rPr>
        <w:t>(</w:t>
      </w:r>
      <w:hyperlink r:id="rId11" w:history="1">
        <w:r w:rsidR="008F7BFE" w:rsidRPr="00B740CB">
          <w:rPr>
            <w:rStyle w:val="Lienhypertexte"/>
            <w:rFonts w:cs="Arial"/>
            <w:bCs/>
            <w:color w:val="auto"/>
            <w:u w:val="none"/>
          </w:rPr>
          <w:t>www.surveymonkey.com/r/B3833CL</w:t>
        </w:r>
      </w:hyperlink>
      <w:r w:rsidR="008F7BFE" w:rsidRPr="00B740CB">
        <w:rPr>
          <w:rStyle w:val="Lienhypertexte"/>
          <w:rFonts w:cs="Arial"/>
          <w:bCs/>
          <w:color w:val="auto"/>
        </w:rPr>
        <w:t>)</w:t>
      </w:r>
      <w:r w:rsidR="008F7BFE" w:rsidRPr="00B740CB">
        <w:rPr>
          <w:rStyle w:val="Lienhypertexte"/>
          <w:rFonts w:cs="Arial"/>
          <w:bCs/>
        </w:rPr>
        <w:t>.</w:t>
      </w:r>
    </w:p>
    <w:p w14:paraId="6497026D" w14:textId="77777777" w:rsidR="0034252F" w:rsidRPr="00B740CB" w:rsidRDefault="0034252F" w:rsidP="0034252F">
      <w:pPr>
        <w:pStyle w:val="0Textedebase"/>
        <w:rPr>
          <w:rFonts w:cs="Arial"/>
          <w:bCs/>
          <w:lang w:val="fr-CH"/>
        </w:rPr>
      </w:pPr>
    </w:p>
    <w:p w14:paraId="1045071D" w14:textId="77777777" w:rsidR="0034252F" w:rsidRPr="00B740CB" w:rsidRDefault="0034252F" w:rsidP="0034252F">
      <w:pPr>
        <w:pStyle w:val="0Textedebase"/>
        <w:rPr>
          <w:rFonts w:cs="Arial"/>
          <w:bCs/>
        </w:rPr>
      </w:pPr>
      <w:r w:rsidRPr="00B740CB">
        <w:rPr>
          <w:rFonts w:cs="Arial"/>
          <w:bCs/>
        </w:rPr>
        <w:t xml:space="preserve">Veuillez noter que les opérateurs désignés qui soumettent leur notification par </w:t>
      </w:r>
      <w:proofErr w:type="spellStart"/>
      <w:r w:rsidRPr="00B740CB">
        <w:rPr>
          <w:rFonts w:cs="Arial"/>
          <w:bCs/>
        </w:rPr>
        <w:t>SurveyMonkey</w:t>
      </w:r>
      <w:proofErr w:type="spellEnd"/>
      <w:r w:rsidRPr="00B740CB">
        <w:rPr>
          <w:rFonts w:cs="Arial"/>
          <w:bCs/>
        </w:rPr>
        <w:t xml:space="preserve"> n’ont pas besoin de renvoyer les formules au format Word par courrier électronique.</w:t>
      </w:r>
    </w:p>
    <w:p w14:paraId="7B270282" w14:textId="77777777" w:rsidR="00E73E1A" w:rsidRPr="00B740CB" w:rsidRDefault="00E73E1A" w:rsidP="00767DD4">
      <w:pPr>
        <w:pStyle w:val="0Textedebase"/>
      </w:pPr>
    </w:p>
    <w:p w14:paraId="70FACDE6" w14:textId="41C38390" w:rsidR="00767DD4" w:rsidRPr="00B740CB" w:rsidRDefault="00E73E1A" w:rsidP="00480ACB">
      <w:pPr>
        <w:jc w:val="both"/>
      </w:pPr>
      <w:r w:rsidRPr="00B740CB">
        <w:t xml:space="preserve">Les opérateurs désignés dans l’incapacité d’accéder au </w:t>
      </w:r>
      <w:proofErr w:type="spellStart"/>
      <w:r w:rsidRPr="00B740CB">
        <w:t>SurveyMonkey</w:t>
      </w:r>
      <w:proofErr w:type="spellEnd"/>
      <w:r w:rsidRPr="00B740CB">
        <w:t xml:space="preserve"> sont priés de remplir et de renvoyer le présent </w:t>
      </w:r>
      <w:r w:rsidR="00767DD4" w:rsidRPr="00B740CB">
        <w:t xml:space="preserve">questionnaire, sans lettre de couverture, </w:t>
      </w:r>
      <w:r w:rsidR="00767DD4" w:rsidRPr="00B740CB">
        <w:rPr>
          <w:b/>
          <w:bCs/>
        </w:rPr>
        <w:t xml:space="preserve">le </w:t>
      </w:r>
      <w:r w:rsidR="00767DD4" w:rsidRPr="00B740CB">
        <w:rPr>
          <w:b/>
          <w:bCs/>
          <w:spacing w:val="-3"/>
        </w:rPr>
        <w:t>1</w:t>
      </w:r>
      <w:r w:rsidR="00767DD4" w:rsidRPr="00B740CB">
        <w:rPr>
          <w:b/>
          <w:bCs/>
          <w:spacing w:val="-3"/>
          <w:vertAlign w:val="superscript"/>
        </w:rPr>
        <w:t>er</w:t>
      </w:r>
      <w:r w:rsidR="00767DD4" w:rsidRPr="00B740CB">
        <w:rPr>
          <w:b/>
          <w:bCs/>
          <w:spacing w:val="-3"/>
        </w:rPr>
        <w:t xml:space="preserve"> </w:t>
      </w:r>
      <w:r w:rsidR="004D5BF9" w:rsidRPr="00B740CB">
        <w:rPr>
          <w:b/>
          <w:bCs/>
          <w:spacing w:val="-3"/>
        </w:rPr>
        <w:t>mai</w:t>
      </w:r>
      <w:r w:rsidR="00767DD4" w:rsidRPr="00B740CB">
        <w:rPr>
          <w:b/>
          <w:bCs/>
          <w:spacing w:val="-3"/>
        </w:rPr>
        <w:t xml:space="preserve"> </w:t>
      </w:r>
      <w:r w:rsidRPr="00B740CB">
        <w:rPr>
          <w:b/>
          <w:bCs/>
          <w:spacing w:val="-3"/>
        </w:rPr>
        <w:t xml:space="preserve">2026 </w:t>
      </w:r>
      <w:r w:rsidR="00767DD4" w:rsidRPr="00B740CB">
        <w:rPr>
          <w:b/>
          <w:bCs/>
          <w:spacing w:val="-3"/>
        </w:rPr>
        <w:t>au plus tard</w:t>
      </w:r>
      <w:r w:rsidR="00767DD4" w:rsidRPr="00B740CB">
        <w:rPr>
          <w:spacing w:val="-3"/>
        </w:rPr>
        <w:t xml:space="preserve">, par courrier électronique à </w:t>
      </w:r>
      <w:r w:rsidR="00B13E7D" w:rsidRPr="00B740CB">
        <w:rPr>
          <w:spacing w:val="-3"/>
        </w:rPr>
        <w:t>Vytis Staskevicius</w:t>
      </w:r>
      <w:r w:rsidR="00B13E7D" w:rsidRPr="00B740CB">
        <w:t xml:space="preserve"> (</w:t>
      </w:r>
      <w:hyperlink r:id="rId12" w:history="1">
        <w:r w:rsidR="008F7BFE" w:rsidRPr="00B740CB">
          <w:rPr>
            <w:rStyle w:val="Lienhypertexte"/>
            <w:color w:val="auto"/>
            <w:u w:val="none"/>
          </w:rPr>
          <w:t>staskeviciusv@upu.int</w:t>
        </w:r>
      </w:hyperlink>
      <w:r w:rsidR="00767DD4" w:rsidRPr="00B740CB">
        <w:t>)</w:t>
      </w:r>
      <w:r w:rsidR="00792D47" w:rsidRPr="00B740CB">
        <w:rPr>
          <w:lang w:val="fr-CH"/>
        </w:rPr>
        <w:t xml:space="preserve"> et Virginia Espinoza (</w:t>
      </w:r>
      <w:hyperlink r:id="rId13" w:history="1">
        <w:r w:rsidR="008F7BFE" w:rsidRPr="00B740CB">
          <w:rPr>
            <w:rStyle w:val="Lienhypertexte"/>
            <w:color w:val="auto"/>
            <w:u w:val="none"/>
            <w:lang w:val="fr-CH"/>
          </w:rPr>
          <w:t>espinozav@upu.int</w:t>
        </w:r>
      </w:hyperlink>
      <w:r w:rsidR="00792D47" w:rsidRPr="00B740CB">
        <w:rPr>
          <w:lang w:val="fr-CH"/>
        </w:rPr>
        <w:t>)</w:t>
      </w:r>
      <w:r w:rsidR="00767DD4" w:rsidRPr="00B740CB">
        <w:t>, ou à l’adresse suivante:</w:t>
      </w:r>
    </w:p>
    <w:p w14:paraId="4092C7C7" w14:textId="714B5426" w:rsidR="00792D47" w:rsidRPr="00B740CB" w:rsidRDefault="00792D47" w:rsidP="006C48F2">
      <w:pPr>
        <w:spacing w:before="120"/>
        <w:jc w:val="both"/>
      </w:pPr>
      <w:r w:rsidRPr="00B740CB">
        <w:rPr>
          <w:spacing w:val="-3"/>
        </w:rPr>
        <w:t>Vytis Staskevicius</w:t>
      </w:r>
    </w:p>
    <w:p w14:paraId="56CC5CF1" w14:textId="5A06EF57" w:rsidR="00767DD4" w:rsidRPr="00B740CB" w:rsidRDefault="00767DD4" w:rsidP="00792D47">
      <w:pPr>
        <w:jc w:val="both"/>
      </w:pPr>
      <w:r w:rsidRPr="00B740CB">
        <w:t>Expert «Développement de la rémunération»</w:t>
      </w:r>
    </w:p>
    <w:p w14:paraId="79167C56" w14:textId="79A4ED38" w:rsidR="00767DD4" w:rsidRPr="00B740CB" w:rsidRDefault="00767DD4" w:rsidP="00767DD4">
      <w:pPr>
        <w:jc w:val="both"/>
      </w:pPr>
      <w:r w:rsidRPr="00B740CB">
        <w:t>Direction des politiques, de la régulation et des marchés</w:t>
      </w:r>
    </w:p>
    <w:p w14:paraId="6EACF9EF" w14:textId="77777777" w:rsidR="00767DD4" w:rsidRPr="00B740CB" w:rsidRDefault="00767DD4" w:rsidP="00767DD4">
      <w:pPr>
        <w:jc w:val="both"/>
      </w:pPr>
      <w:r w:rsidRPr="00B740CB">
        <w:t>Bureau international de l’UPU</w:t>
      </w:r>
    </w:p>
    <w:p w14:paraId="7CFD280D" w14:textId="77777777" w:rsidR="00795673" w:rsidRPr="00B740CB" w:rsidRDefault="00795673" w:rsidP="00767DD4">
      <w:pPr>
        <w:jc w:val="both"/>
      </w:pPr>
      <w:r w:rsidRPr="00B740CB">
        <w:t>Weltpoststrasse 4</w:t>
      </w:r>
    </w:p>
    <w:p w14:paraId="16F68006" w14:textId="77777777" w:rsidR="00767DD4" w:rsidRPr="00B740CB" w:rsidRDefault="00795673" w:rsidP="00767DD4">
      <w:pPr>
        <w:jc w:val="both"/>
      </w:pPr>
      <w:r w:rsidRPr="00B740CB">
        <w:t>3015 BERNE</w:t>
      </w:r>
    </w:p>
    <w:p w14:paraId="099A1F0E" w14:textId="77777777" w:rsidR="00767DD4" w:rsidRPr="00B740CB" w:rsidRDefault="00767DD4" w:rsidP="00767DD4">
      <w:pPr>
        <w:jc w:val="both"/>
      </w:pPr>
      <w:r w:rsidRPr="00B740CB">
        <w:t>SUISSE</w:t>
      </w:r>
    </w:p>
    <w:p w14:paraId="78A60A63" w14:textId="77777777" w:rsidR="00767DD4" w:rsidRPr="00B740CB" w:rsidRDefault="00767DD4" w:rsidP="00767DD4">
      <w:pPr>
        <w:jc w:val="both"/>
      </w:pPr>
    </w:p>
    <w:p w14:paraId="14E981E9" w14:textId="77777777" w:rsidR="00767DD4" w:rsidRPr="00B740CB" w:rsidRDefault="00767DD4" w:rsidP="00767DD4">
      <w:pPr>
        <w:jc w:val="both"/>
      </w:pPr>
      <w:r w:rsidRPr="00B740CB">
        <w:t>Les opérateurs désignés sont invités à envoyer leur notification par courrier électronique ou à en envoyer une copie par courrier électronique en cas d’envoi par voie postale.</w:t>
      </w:r>
    </w:p>
    <w:p w14:paraId="5D298A8E" w14:textId="77777777" w:rsidR="00767DD4" w:rsidRPr="00B740CB" w:rsidRDefault="00767DD4" w:rsidP="00767DD4">
      <w:pPr>
        <w:pStyle w:val="0Textedebase"/>
      </w:pPr>
    </w:p>
    <w:p w14:paraId="1DB54B4B" w14:textId="5D43D1B8" w:rsidR="00767DD4" w:rsidRPr="00B740CB" w:rsidRDefault="00767DD4" w:rsidP="00792D47">
      <w:pPr>
        <w:pStyle w:val="0Textedebase"/>
      </w:pPr>
      <w:r w:rsidRPr="00B740CB">
        <w:t xml:space="preserve">Si vous rencontrez des difficultés à remplir ce questionnaire, veuillez prendre contact avec </w:t>
      </w:r>
      <w:r w:rsidR="009431B1" w:rsidRPr="00B740CB">
        <w:t xml:space="preserve">Vytis Staskevicius </w:t>
      </w:r>
      <w:r w:rsidR="00792D47" w:rsidRPr="00B740CB">
        <w:t xml:space="preserve">et Virginia Espinoza </w:t>
      </w:r>
      <w:r w:rsidR="00795673" w:rsidRPr="00B740CB">
        <w:t>par courrier électronique.</w:t>
      </w:r>
    </w:p>
    <w:p w14:paraId="4F1650B1" w14:textId="77777777" w:rsidR="00767DD4" w:rsidRPr="00B740CB" w:rsidRDefault="00767DD4" w:rsidP="00795673">
      <w:pPr>
        <w:pStyle w:val="0Textedebase"/>
        <w:rPr>
          <w:rFonts w:cs="Arial"/>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216"/>
        <w:gridCol w:w="1565"/>
      </w:tblGrid>
      <w:tr w:rsidR="00767DD4" w:rsidRPr="00B740CB" w14:paraId="2EB6DE18" w14:textId="77777777" w:rsidTr="009A2BBC">
        <w:trPr>
          <w:cantSplit/>
        </w:trPr>
        <w:tc>
          <w:tcPr>
            <w:tcW w:w="9640" w:type="dxa"/>
            <w:gridSpan w:val="3"/>
            <w:tcMar>
              <w:top w:w="57" w:type="dxa"/>
              <w:bottom w:w="0" w:type="dxa"/>
            </w:tcMar>
          </w:tcPr>
          <w:p w14:paraId="262264FA" w14:textId="77777777" w:rsidR="00767DD4" w:rsidRPr="00B740CB" w:rsidRDefault="00767DD4" w:rsidP="00457E32">
            <w:pPr>
              <w:spacing w:line="240" w:lineRule="auto"/>
              <w:rPr>
                <w:rFonts w:cs="Arial"/>
                <w:sz w:val="16"/>
                <w:szCs w:val="16"/>
              </w:rPr>
            </w:pPr>
            <w:r w:rsidRPr="00B740CB">
              <w:rPr>
                <w:sz w:val="16"/>
                <w:szCs w:val="16"/>
              </w:rPr>
              <w:t>Opérateur désigné</w:t>
            </w:r>
          </w:p>
          <w:p w14:paraId="10889A06" w14:textId="77777777" w:rsidR="00767DD4" w:rsidRPr="00B740CB" w:rsidRDefault="00767DD4" w:rsidP="00457E32">
            <w:pPr>
              <w:spacing w:line="240" w:lineRule="auto"/>
              <w:ind w:right="74"/>
              <w:rPr>
                <w:rFonts w:cs="Arial"/>
                <w:sz w:val="16"/>
                <w:szCs w:val="16"/>
              </w:rPr>
            </w:pPr>
          </w:p>
          <w:p w14:paraId="63898B6E" w14:textId="77777777" w:rsidR="00767DD4" w:rsidRPr="00B740CB" w:rsidRDefault="00767DD4" w:rsidP="00457E32">
            <w:pPr>
              <w:spacing w:line="240" w:lineRule="auto"/>
              <w:ind w:right="74"/>
              <w:rPr>
                <w:rFonts w:cs="Arial"/>
                <w:sz w:val="16"/>
                <w:szCs w:val="16"/>
              </w:rPr>
            </w:pPr>
          </w:p>
        </w:tc>
      </w:tr>
      <w:tr w:rsidR="00767DD4" w:rsidRPr="00B740CB" w14:paraId="22C3EB31" w14:textId="77777777" w:rsidTr="009A2BBC">
        <w:trPr>
          <w:cantSplit/>
          <w:trHeight w:val="33"/>
        </w:trPr>
        <w:tc>
          <w:tcPr>
            <w:tcW w:w="8075" w:type="dxa"/>
            <w:gridSpan w:val="2"/>
            <w:tcBorders>
              <w:right w:val="nil"/>
            </w:tcBorders>
            <w:tcMar>
              <w:top w:w="57" w:type="dxa"/>
              <w:bottom w:w="0" w:type="dxa"/>
            </w:tcMar>
          </w:tcPr>
          <w:p w14:paraId="3872FE1C" w14:textId="77777777" w:rsidR="00767DD4" w:rsidRPr="00B740CB" w:rsidRDefault="00795673" w:rsidP="00457E32">
            <w:pPr>
              <w:spacing w:line="240" w:lineRule="auto"/>
              <w:ind w:right="75"/>
              <w:rPr>
                <w:rFonts w:cs="Arial"/>
                <w:sz w:val="16"/>
                <w:szCs w:val="16"/>
              </w:rPr>
            </w:pPr>
            <w:r w:rsidRPr="00B740CB">
              <w:rPr>
                <w:sz w:val="16"/>
                <w:szCs w:val="16"/>
              </w:rPr>
              <w:t>Nom complet</w:t>
            </w:r>
          </w:p>
          <w:p w14:paraId="2E8B4546" w14:textId="77777777" w:rsidR="00767DD4" w:rsidRPr="00B740CB" w:rsidRDefault="00767DD4" w:rsidP="00457E32">
            <w:pPr>
              <w:spacing w:line="240" w:lineRule="auto"/>
              <w:rPr>
                <w:rFonts w:cs="Arial"/>
                <w:sz w:val="16"/>
                <w:szCs w:val="16"/>
              </w:rPr>
            </w:pPr>
          </w:p>
          <w:p w14:paraId="2FED64C0" w14:textId="77777777" w:rsidR="00767DD4" w:rsidRPr="00B740CB" w:rsidRDefault="00767DD4" w:rsidP="00457E32">
            <w:pPr>
              <w:spacing w:line="240" w:lineRule="auto"/>
              <w:rPr>
                <w:rFonts w:cs="Arial"/>
                <w:sz w:val="16"/>
                <w:szCs w:val="16"/>
              </w:rPr>
            </w:pPr>
          </w:p>
        </w:tc>
        <w:tc>
          <w:tcPr>
            <w:tcW w:w="1565" w:type="dxa"/>
            <w:tcBorders>
              <w:left w:val="nil"/>
            </w:tcBorders>
            <w:tcMar>
              <w:top w:w="57" w:type="dxa"/>
            </w:tcMar>
            <w:vAlign w:val="bottom"/>
          </w:tcPr>
          <w:p w14:paraId="413ED6D1" w14:textId="77777777" w:rsidR="00767DD4" w:rsidRPr="00B740CB" w:rsidRDefault="00B740CB" w:rsidP="00795673">
            <w:pPr>
              <w:tabs>
                <w:tab w:val="left" w:pos="909"/>
              </w:tabs>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767DD4" w:rsidRPr="00B740CB">
                  <w:rPr>
                    <w:rFonts w:cs="Arial"/>
                    <w:sz w:val="24"/>
                    <w:szCs w:val="24"/>
                  </w:rPr>
                  <w:sym w:font="Wingdings" w:char="F071"/>
                </w:r>
              </w:sdtContent>
            </w:sdt>
            <w:r w:rsidR="00767DD4" w:rsidRPr="00B740CB">
              <w:rPr>
                <w:sz w:val="16"/>
                <w:szCs w:val="16"/>
              </w:rPr>
              <w:t xml:space="preserve"> M</w:t>
            </w:r>
            <w:r w:rsidR="00767DD4" w:rsidRPr="00B740CB">
              <w:rPr>
                <w:sz w:val="16"/>
                <w:szCs w:val="16"/>
                <w:vertAlign w:val="superscript"/>
              </w:rPr>
              <w:t>me</w:t>
            </w:r>
            <w:r w:rsidR="00767DD4" w:rsidRPr="00B740CB">
              <w:rPr>
                <w:sz w:val="16"/>
                <w:szCs w:val="16"/>
              </w:rPr>
              <w:tab/>
            </w:r>
            <w:sdt>
              <w:sdtPr>
                <w:rPr>
                  <w:rFonts w:cs="Arial"/>
                  <w:sz w:val="24"/>
                  <w:szCs w:val="24"/>
                </w:rPr>
                <w:id w:val="-823508224"/>
                <w14:checkbox>
                  <w14:checked w14:val="0"/>
                  <w14:checkedState w14:val="0054" w14:font="Wingdings 2"/>
                  <w14:uncheckedState w14:val="0071" w14:font="Wingdings"/>
                </w14:checkbox>
              </w:sdtPr>
              <w:sdtEndPr/>
              <w:sdtContent>
                <w:r w:rsidR="00767DD4" w:rsidRPr="00B740CB">
                  <w:rPr>
                    <w:rFonts w:cs="Arial"/>
                    <w:sz w:val="24"/>
                    <w:szCs w:val="24"/>
                  </w:rPr>
                  <w:sym w:font="Wingdings" w:char="F071"/>
                </w:r>
              </w:sdtContent>
            </w:sdt>
            <w:r w:rsidR="00767DD4" w:rsidRPr="00B740CB">
              <w:rPr>
                <w:sz w:val="16"/>
                <w:szCs w:val="16"/>
              </w:rPr>
              <w:t xml:space="preserve"> M.</w:t>
            </w:r>
          </w:p>
        </w:tc>
      </w:tr>
      <w:tr w:rsidR="00767DD4" w:rsidRPr="00B740CB" w14:paraId="4DC3FFB9" w14:textId="77777777" w:rsidTr="009A2BBC">
        <w:trPr>
          <w:cantSplit/>
        </w:trPr>
        <w:tc>
          <w:tcPr>
            <w:tcW w:w="9640" w:type="dxa"/>
            <w:gridSpan w:val="3"/>
            <w:tcMar>
              <w:top w:w="57" w:type="dxa"/>
              <w:bottom w:w="0" w:type="dxa"/>
            </w:tcMar>
          </w:tcPr>
          <w:p w14:paraId="5122736B" w14:textId="77777777" w:rsidR="00767DD4" w:rsidRPr="00B740CB" w:rsidRDefault="00767DD4" w:rsidP="00457E32">
            <w:pPr>
              <w:spacing w:line="240" w:lineRule="auto"/>
              <w:ind w:right="74"/>
              <w:rPr>
                <w:rFonts w:cs="Arial"/>
                <w:sz w:val="16"/>
                <w:szCs w:val="16"/>
              </w:rPr>
            </w:pPr>
            <w:r w:rsidRPr="00B740CB">
              <w:rPr>
                <w:sz w:val="16"/>
                <w:szCs w:val="16"/>
              </w:rPr>
              <w:t>Fonction/titre</w:t>
            </w:r>
          </w:p>
          <w:p w14:paraId="31B2A7B0" w14:textId="77777777" w:rsidR="00767DD4" w:rsidRPr="00B740CB" w:rsidRDefault="00767DD4" w:rsidP="00457E32">
            <w:pPr>
              <w:spacing w:line="240" w:lineRule="auto"/>
              <w:ind w:right="74"/>
              <w:rPr>
                <w:rFonts w:cs="Arial"/>
                <w:sz w:val="16"/>
                <w:szCs w:val="16"/>
              </w:rPr>
            </w:pPr>
          </w:p>
          <w:p w14:paraId="2DD7E048" w14:textId="77777777" w:rsidR="00767DD4" w:rsidRPr="00B740CB" w:rsidRDefault="00767DD4" w:rsidP="00457E32">
            <w:pPr>
              <w:spacing w:line="240" w:lineRule="auto"/>
              <w:ind w:right="74"/>
              <w:rPr>
                <w:rFonts w:cs="Arial"/>
                <w:sz w:val="16"/>
                <w:szCs w:val="16"/>
              </w:rPr>
            </w:pPr>
          </w:p>
        </w:tc>
      </w:tr>
      <w:tr w:rsidR="00767DD4" w:rsidRPr="00B740CB" w14:paraId="59FA7DEB" w14:textId="77777777" w:rsidTr="009A2BBC">
        <w:trPr>
          <w:cantSplit/>
        </w:trPr>
        <w:tc>
          <w:tcPr>
            <w:tcW w:w="9640" w:type="dxa"/>
            <w:gridSpan w:val="3"/>
            <w:tcMar>
              <w:top w:w="57" w:type="dxa"/>
              <w:bottom w:w="0" w:type="dxa"/>
            </w:tcMar>
          </w:tcPr>
          <w:p w14:paraId="733646AD" w14:textId="77777777" w:rsidR="00767DD4" w:rsidRPr="00B740CB" w:rsidRDefault="00767DD4" w:rsidP="00457E32">
            <w:pPr>
              <w:spacing w:line="240" w:lineRule="auto"/>
              <w:ind w:right="74"/>
              <w:rPr>
                <w:rFonts w:cs="Arial"/>
                <w:sz w:val="16"/>
                <w:szCs w:val="16"/>
              </w:rPr>
            </w:pPr>
            <w:r w:rsidRPr="00B740CB">
              <w:rPr>
                <w:sz w:val="16"/>
                <w:szCs w:val="16"/>
              </w:rPr>
              <w:t>Adresse</w:t>
            </w:r>
          </w:p>
          <w:p w14:paraId="04425F53" w14:textId="77777777" w:rsidR="00767DD4" w:rsidRPr="00B740CB" w:rsidRDefault="00767DD4" w:rsidP="00457E32">
            <w:pPr>
              <w:spacing w:line="240" w:lineRule="auto"/>
              <w:ind w:right="74"/>
              <w:rPr>
                <w:rFonts w:cs="Arial"/>
                <w:sz w:val="16"/>
                <w:szCs w:val="16"/>
              </w:rPr>
            </w:pPr>
          </w:p>
          <w:p w14:paraId="014FAC07" w14:textId="77777777" w:rsidR="00767DD4" w:rsidRPr="00B740CB" w:rsidRDefault="00767DD4" w:rsidP="00457E32">
            <w:pPr>
              <w:spacing w:line="240" w:lineRule="auto"/>
              <w:ind w:right="74"/>
              <w:rPr>
                <w:rFonts w:cs="Arial"/>
                <w:sz w:val="16"/>
                <w:szCs w:val="16"/>
              </w:rPr>
            </w:pPr>
          </w:p>
          <w:p w14:paraId="688736D9" w14:textId="77777777" w:rsidR="00767DD4" w:rsidRPr="00B740CB" w:rsidRDefault="00767DD4" w:rsidP="00457E32">
            <w:pPr>
              <w:spacing w:line="240" w:lineRule="auto"/>
              <w:ind w:right="74"/>
              <w:rPr>
                <w:rFonts w:cs="Arial"/>
                <w:sz w:val="16"/>
                <w:szCs w:val="16"/>
              </w:rPr>
            </w:pPr>
          </w:p>
          <w:p w14:paraId="2650066A" w14:textId="77777777" w:rsidR="00767DD4" w:rsidRPr="00B740CB" w:rsidRDefault="00767DD4" w:rsidP="00457E32">
            <w:pPr>
              <w:spacing w:line="240" w:lineRule="auto"/>
              <w:ind w:right="74"/>
              <w:rPr>
                <w:rFonts w:cs="Arial"/>
                <w:sz w:val="16"/>
                <w:szCs w:val="16"/>
              </w:rPr>
            </w:pPr>
          </w:p>
          <w:p w14:paraId="6712DECE" w14:textId="77777777" w:rsidR="00767DD4" w:rsidRPr="00B740CB" w:rsidRDefault="00767DD4" w:rsidP="00457E32">
            <w:pPr>
              <w:spacing w:line="240" w:lineRule="auto"/>
              <w:ind w:right="74"/>
              <w:rPr>
                <w:rFonts w:cs="Arial"/>
                <w:sz w:val="16"/>
                <w:szCs w:val="16"/>
              </w:rPr>
            </w:pPr>
          </w:p>
        </w:tc>
      </w:tr>
      <w:tr w:rsidR="00767DD4" w:rsidRPr="00B740CB" w14:paraId="5FBFE1D8" w14:textId="77777777" w:rsidTr="009A2BBC">
        <w:trPr>
          <w:cantSplit/>
          <w:trHeight w:val="192"/>
        </w:trPr>
        <w:tc>
          <w:tcPr>
            <w:tcW w:w="4859" w:type="dxa"/>
            <w:tcMar>
              <w:top w:w="57" w:type="dxa"/>
              <w:bottom w:w="0" w:type="dxa"/>
            </w:tcMar>
          </w:tcPr>
          <w:p w14:paraId="79BD8E96" w14:textId="77777777" w:rsidR="00767DD4" w:rsidRPr="00B740CB" w:rsidRDefault="00767DD4" w:rsidP="00457E32">
            <w:pPr>
              <w:spacing w:line="240" w:lineRule="auto"/>
              <w:ind w:right="74"/>
              <w:rPr>
                <w:rFonts w:cs="Arial"/>
                <w:sz w:val="16"/>
                <w:szCs w:val="16"/>
              </w:rPr>
            </w:pPr>
            <w:r w:rsidRPr="00B740CB">
              <w:rPr>
                <w:sz w:val="16"/>
                <w:szCs w:val="16"/>
              </w:rPr>
              <w:t>Téléphone</w:t>
            </w:r>
          </w:p>
          <w:p w14:paraId="7814181C" w14:textId="77777777" w:rsidR="00767DD4" w:rsidRPr="00B740CB" w:rsidRDefault="00767DD4" w:rsidP="00457E32">
            <w:pPr>
              <w:spacing w:line="240" w:lineRule="auto"/>
              <w:ind w:right="74"/>
              <w:rPr>
                <w:rFonts w:cs="Arial"/>
                <w:sz w:val="16"/>
                <w:szCs w:val="16"/>
              </w:rPr>
            </w:pPr>
          </w:p>
          <w:p w14:paraId="35EDE1AF" w14:textId="77777777" w:rsidR="00767DD4" w:rsidRPr="00B740CB" w:rsidRDefault="00767DD4" w:rsidP="00457E32">
            <w:pPr>
              <w:spacing w:line="240" w:lineRule="auto"/>
              <w:ind w:right="74"/>
              <w:rPr>
                <w:rFonts w:cs="Arial"/>
                <w:sz w:val="16"/>
                <w:szCs w:val="16"/>
              </w:rPr>
            </w:pPr>
          </w:p>
        </w:tc>
        <w:tc>
          <w:tcPr>
            <w:tcW w:w="4781" w:type="dxa"/>
            <w:gridSpan w:val="2"/>
            <w:tcMar>
              <w:top w:w="57" w:type="dxa"/>
              <w:bottom w:w="0" w:type="dxa"/>
            </w:tcMar>
          </w:tcPr>
          <w:p w14:paraId="01F7C5A1" w14:textId="77777777" w:rsidR="00767DD4" w:rsidRPr="00B740CB" w:rsidRDefault="00767DD4" w:rsidP="00457E32">
            <w:pPr>
              <w:spacing w:line="240" w:lineRule="auto"/>
              <w:ind w:right="74"/>
              <w:rPr>
                <w:rFonts w:cs="Arial"/>
                <w:sz w:val="16"/>
                <w:szCs w:val="16"/>
              </w:rPr>
            </w:pPr>
            <w:r w:rsidRPr="00B740CB">
              <w:rPr>
                <w:sz w:val="16"/>
                <w:szCs w:val="16"/>
              </w:rPr>
              <w:t>Télécopie</w:t>
            </w:r>
          </w:p>
          <w:p w14:paraId="75ADAB98" w14:textId="77777777" w:rsidR="00767DD4" w:rsidRPr="00B740CB" w:rsidRDefault="00767DD4" w:rsidP="00457E32">
            <w:pPr>
              <w:spacing w:line="240" w:lineRule="auto"/>
              <w:ind w:right="74"/>
              <w:rPr>
                <w:rFonts w:cs="Arial"/>
                <w:sz w:val="16"/>
                <w:szCs w:val="16"/>
              </w:rPr>
            </w:pPr>
          </w:p>
          <w:p w14:paraId="196556CE" w14:textId="03DAA30C" w:rsidR="00A91332" w:rsidRPr="00B740CB" w:rsidRDefault="00A91332" w:rsidP="00457E32">
            <w:pPr>
              <w:spacing w:line="240" w:lineRule="auto"/>
              <w:ind w:right="74"/>
              <w:rPr>
                <w:rFonts w:cs="Arial"/>
                <w:sz w:val="16"/>
                <w:szCs w:val="16"/>
              </w:rPr>
            </w:pPr>
          </w:p>
        </w:tc>
      </w:tr>
      <w:tr w:rsidR="00767DD4" w:rsidRPr="00B740CB" w14:paraId="2E469AAE" w14:textId="77777777" w:rsidTr="009A2BBC">
        <w:trPr>
          <w:cantSplit/>
        </w:trPr>
        <w:tc>
          <w:tcPr>
            <w:tcW w:w="9640" w:type="dxa"/>
            <w:gridSpan w:val="3"/>
            <w:tcMar>
              <w:top w:w="57" w:type="dxa"/>
              <w:bottom w:w="0" w:type="dxa"/>
            </w:tcMar>
          </w:tcPr>
          <w:p w14:paraId="5F481779" w14:textId="77777777" w:rsidR="00767DD4" w:rsidRPr="00B740CB" w:rsidRDefault="00767DD4" w:rsidP="00457E32">
            <w:pPr>
              <w:spacing w:line="240" w:lineRule="auto"/>
              <w:ind w:right="74"/>
              <w:rPr>
                <w:rFonts w:eastAsia="SimSun" w:cs="Arial"/>
                <w:sz w:val="16"/>
                <w:szCs w:val="16"/>
              </w:rPr>
            </w:pPr>
            <w:r w:rsidRPr="00B740CB">
              <w:rPr>
                <w:sz w:val="16"/>
                <w:szCs w:val="16"/>
              </w:rPr>
              <w:t>Adresse électronique</w:t>
            </w:r>
          </w:p>
          <w:p w14:paraId="6BB96E65" w14:textId="77777777" w:rsidR="00767DD4" w:rsidRPr="00B740CB" w:rsidRDefault="00767DD4" w:rsidP="00457E32">
            <w:pPr>
              <w:spacing w:line="240" w:lineRule="auto"/>
              <w:ind w:right="74"/>
              <w:rPr>
                <w:rFonts w:eastAsia="SimSun" w:cs="Arial"/>
                <w:sz w:val="16"/>
                <w:szCs w:val="16"/>
              </w:rPr>
            </w:pPr>
          </w:p>
          <w:p w14:paraId="43CD190B" w14:textId="77777777" w:rsidR="00767DD4" w:rsidRPr="00B740CB" w:rsidRDefault="00767DD4" w:rsidP="00457E32">
            <w:pPr>
              <w:spacing w:line="240" w:lineRule="auto"/>
              <w:ind w:right="74"/>
              <w:rPr>
                <w:rFonts w:eastAsia="SimSun" w:cs="Arial"/>
                <w:sz w:val="16"/>
                <w:szCs w:val="16"/>
              </w:rPr>
            </w:pPr>
          </w:p>
        </w:tc>
      </w:tr>
      <w:tr w:rsidR="00767DD4" w:rsidRPr="00B740CB" w14:paraId="6525FD31" w14:textId="77777777" w:rsidTr="009A2BBC">
        <w:trPr>
          <w:cantSplit/>
        </w:trPr>
        <w:tc>
          <w:tcPr>
            <w:tcW w:w="4859" w:type="dxa"/>
            <w:tcMar>
              <w:top w:w="57" w:type="dxa"/>
              <w:bottom w:w="0" w:type="dxa"/>
            </w:tcMar>
          </w:tcPr>
          <w:p w14:paraId="65A8DD53" w14:textId="77777777" w:rsidR="00767DD4" w:rsidRPr="00B740CB" w:rsidRDefault="00767DD4" w:rsidP="00457E32">
            <w:pPr>
              <w:spacing w:line="240" w:lineRule="auto"/>
              <w:ind w:right="74"/>
              <w:rPr>
                <w:rFonts w:cs="Arial"/>
                <w:sz w:val="16"/>
                <w:szCs w:val="16"/>
              </w:rPr>
            </w:pPr>
            <w:r w:rsidRPr="00B740CB">
              <w:rPr>
                <w:sz w:val="16"/>
                <w:szCs w:val="16"/>
              </w:rPr>
              <w:t>Date</w:t>
            </w:r>
          </w:p>
          <w:p w14:paraId="1A3FAA5F" w14:textId="77777777" w:rsidR="00767DD4" w:rsidRPr="00B740CB" w:rsidRDefault="00767DD4" w:rsidP="00457E32">
            <w:pPr>
              <w:spacing w:line="240" w:lineRule="auto"/>
              <w:ind w:right="74"/>
              <w:rPr>
                <w:rFonts w:cs="Arial"/>
                <w:sz w:val="16"/>
                <w:szCs w:val="16"/>
              </w:rPr>
            </w:pPr>
          </w:p>
          <w:p w14:paraId="1777C399" w14:textId="77777777" w:rsidR="00767DD4" w:rsidRPr="00B740CB" w:rsidRDefault="00767DD4" w:rsidP="00457E32">
            <w:pPr>
              <w:spacing w:line="240" w:lineRule="auto"/>
              <w:ind w:right="74"/>
              <w:rPr>
                <w:rFonts w:cs="Arial"/>
                <w:sz w:val="16"/>
                <w:szCs w:val="16"/>
              </w:rPr>
            </w:pPr>
          </w:p>
        </w:tc>
        <w:tc>
          <w:tcPr>
            <w:tcW w:w="4781" w:type="dxa"/>
            <w:gridSpan w:val="2"/>
            <w:tcMar>
              <w:top w:w="57" w:type="dxa"/>
              <w:bottom w:w="0" w:type="dxa"/>
            </w:tcMar>
          </w:tcPr>
          <w:p w14:paraId="68978A30" w14:textId="77777777" w:rsidR="00767DD4" w:rsidRPr="00B740CB" w:rsidRDefault="00767DD4" w:rsidP="00457E32">
            <w:pPr>
              <w:spacing w:line="240" w:lineRule="auto"/>
              <w:ind w:right="74"/>
              <w:rPr>
                <w:rFonts w:cs="Arial"/>
                <w:sz w:val="16"/>
                <w:szCs w:val="16"/>
              </w:rPr>
            </w:pPr>
            <w:r w:rsidRPr="00B740CB">
              <w:rPr>
                <w:sz w:val="16"/>
                <w:szCs w:val="16"/>
              </w:rPr>
              <w:t>Signature</w:t>
            </w:r>
          </w:p>
          <w:p w14:paraId="759D0D4B" w14:textId="77777777" w:rsidR="00767DD4" w:rsidRPr="00B740CB" w:rsidRDefault="00767DD4" w:rsidP="00457E32">
            <w:pPr>
              <w:spacing w:line="240" w:lineRule="auto"/>
              <w:ind w:right="74"/>
              <w:rPr>
                <w:rFonts w:eastAsia="SimSun" w:cs="Arial"/>
                <w:sz w:val="16"/>
                <w:szCs w:val="16"/>
              </w:rPr>
            </w:pPr>
          </w:p>
          <w:p w14:paraId="189D49D4" w14:textId="229CD4D1" w:rsidR="00A91332" w:rsidRPr="00B740CB" w:rsidRDefault="00A91332" w:rsidP="00457E32">
            <w:pPr>
              <w:spacing w:line="240" w:lineRule="auto"/>
              <w:ind w:right="74"/>
              <w:rPr>
                <w:rFonts w:eastAsia="SimSun" w:cs="Arial"/>
                <w:sz w:val="16"/>
                <w:szCs w:val="16"/>
              </w:rPr>
            </w:pPr>
          </w:p>
        </w:tc>
      </w:tr>
    </w:tbl>
    <w:p w14:paraId="7D6F1CF6" w14:textId="77777777" w:rsidR="00767DD4" w:rsidRPr="00B740CB" w:rsidRDefault="00767DD4" w:rsidP="00767DD4">
      <w:pPr>
        <w:jc w:val="both"/>
        <w:rPr>
          <w:rFonts w:cs="Arial"/>
        </w:rPr>
      </w:pPr>
    </w:p>
    <w:p w14:paraId="2AB6F33E" w14:textId="77777777" w:rsidR="00767DD4" w:rsidRPr="00B740CB" w:rsidRDefault="00767DD4" w:rsidP="00767DD4">
      <w:pPr>
        <w:spacing w:line="240" w:lineRule="auto"/>
        <w:rPr>
          <w:rFonts w:cs="Arial"/>
        </w:rPr>
      </w:pPr>
    </w:p>
    <w:p w14:paraId="479E5E53" w14:textId="77777777" w:rsidR="00767DD4" w:rsidRPr="00B740CB" w:rsidRDefault="00767DD4" w:rsidP="00795673">
      <w:pPr>
        <w:pStyle w:val="0Textedebase"/>
        <w:pageBreakBefore/>
        <w:rPr>
          <w:b/>
          <w:bCs/>
        </w:rPr>
      </w:pPr>
      <w:r w:rsidRPr="00B740CB">
        <w:rPr>
          <w:b/>
          <w:bCs/>
        </w:rPr>
        <w:lastRenderedPageBreak/>
        <w:t>Introduction</w:t>
      </w:r>
    </w:p>
    <w:p w14:paraId="219576F6" w14:textId="77777777" w:rsidR="00767DD4" w:rsidRPr="00B740CB" w:rsidRDefault="00767DD4" w:rsidP="00767DD4">
      <w:pPr>
        <w:pStyle w:val="0Textedebase"/>
      </w:pPr>
    </w:p>
    <w:p w14:paraId="7E0188EA" w14:textId="06226A0E" w:rsidR="00767DD4" w:rsidRPr="00B740CB" w:rsidRDefault="00767DD4" w:rsidP="00792D47">
      <w:pPr>
        <w:pStyle w:val="0Textedebase"/>
      </w:pPr>
      <w:r w:rsidRPr="00B740CB">
        <w:t xml:space="preserve">Les informations ci-après sont nécessaires aux fins de la notification des taux autodéclarés applicables aux </w:t>
      </w:r>
      <w:r w:rsidR="00E73E1A" w:rsidRPr="00B740CB">
        <w:t xml:space="preserve">petits paquets (E) </w:t>
      </w:r>
      <w:r w:rsidRPr="00B740CB">
        <w:t>de la poste aux lettres avec effet à partir du 1</w:t>
      </w:r>
      <w:r w:rsidRPr="00B740CB">
        <w:rPr>
          <w:vertAlign w:val="superscript"/>
        </w:rPr>
        <w:t>er</w:t>
      </w:r>
      <w:r w:rsidR="008E7378" w:rsidRPr="00B740CB">
        <w:t xml:space="preserve"> janvier </w:t>
      </w:r>
      <w:r w:rsidR="00E73E1A" w:rsidRPr="00B740CB">
        <w:t>2027</w:t>
      </w:r>
      <w:r w:rsidR="00795673" w:rsidRPr="00B740CB">
        <w:t>:</w:t>
      </w:r>
    </w:p>
    <w:p w14:paraId="1BEE7923" w14:textId="551A0D86" w:rsidR="00767DD4" w:rsidRPr="00B740CB" w:rsidRDefault="00767DD4" w:rsidP="00795673">
      <w:pPr>
        <w:pStyle w:val="1Premierretrait"/>
        <w:numPr>
          <w:ilvl w:val="0"/>
          <w:numId w:val="13"/>
        </w:numPr>
        <w:tabs>
          <w:tab w:val="clear" w:pos="567"/>
        </w:tabs>
      </w:pPr>
      <w:r w:rsidRPr="00B740CB">
        <w:t>Il convient d’exprimer les taux autodéclarés sous la forme d’un taux par envoi et d’un taux par kilo</w:t>
      </w:r>
      <w:r w:rsidRPr="00B740CB">
        <w:softHyphen/>
        <w:t>gramme dans la monnaie locale</w:t>
      </w:r>
      <w:r w:rsidR="009B75E1" w:rsidRPr="00B740CB">
        <w:t xml:space="preserve"> ou </w:t>
      </w:r>
      <w:r w:rsidR="007879AC" w:rsidRPr="00B740CB">
        <w:t xml:space="preserve">en </w:t>
      </w:r>
      <w:r w:rsidR="009B75E1" w:rsidRPr="00B740CB">
        <w:t>DTS</w:t>
      </w:r>
      <w:r w:rsidRPr="00B740CB">
        <w:t>.</w:t>
      </w:r>
    </w:p>
    <w:p w14:paraId="26A9FE92" w14:textId="714B5D52" w:rsidR="00767DD4" w:rsidRPr="00B740CB" w:rsidRDefault="00767DD4" w:rsidP="00792D47">
      <w:pPr>
        <w:pStyle w:val="1Premierretrait"/>
        <w:numPr>
          <w:ilvl w:val="0"/>
          <w:numId w:val="13"/>
        </w:numPr>
        <w:tabs>
          <w:tab w:val="clear" w:pos="567"/>
        </w:tabs>
      </w:pPr>
      <w:r w:rsidRPr="00B740CB">
        <w:t>Les taux autodéclarés ne peuvent pas être supérieurs aux taux plafonds spécifiques aux pays corres</w:t>
      </w:r>
      <w:r w:rsidR="00CB08F1" w:rsidRPr="00B740CB">
        <w:softHyphen/>
      </w:r>
      <w:r w:rsidRPr="00B740CB">
        <w:t>pondant à 70% du montant des tarifs applicables à un envoi unique prioritaire pour des services inté</w:t>
      </w:r>
      <w:r w:rsidR="00CB08F1" w:rsidRPr="00B740CB">
        <w:softHyphen/>
      </w:r>
      <w:r w:rsidRPr="00B740CB">
        <w:t>rieurs équivalents à ceux applicables aux envois de la poste aux lettres de format E de 20, 35, 75, 175, 250, 375, 500, 750, 1000, 1500 et 2000 grammes, hors taxes, exprimés en monnaie locale et entrant en vigueur au 1</w:t>
      </w:r>
      <w:r w:rsidRPr="00B740CB">
        <w:rPr>
          <w:vertAlign w:val="superscript"/>
        </w:rPr>
        <w:t>er</w:t>
      </w:r>
      <w:r w:rsidRPr="00B740CB">
        <w:t xml:space="preserve"> </w:t>
      </w:r>
      <w:r w:rsidR="00BE58AD" w:rsidRPr="00B740CB">
        <w:t xml:space="preserve">mai </w:t>
      </w:r>
      <w:r w:rsidR="001D34C2" w:rsidRPr="00B740CB">
        <w:t>2026</w:t>
      </w:r>
      <w:r w:rsidRPr="00B740CB">
        <w:t>.</w:t>
      </w:r>
    </w:p>
    <w:p w14:paraId="6297EC1F" w14:textId="3C1EC1FD" w:rsidR="00767DD4" w:rsidRPr="00B740CB" w:rsidRDefault="00767DD4" w:rsidP="00855D34">
      <w:pPr>
        <w:pStyle w:val="1Premierretrait"/>
        <w:numPr>
          <w:ilvl w:val="0"/>
          <w:numId w:val="13"/>
        </w:numPr>
        <w:tabs>
          <w:tab w:val="clear" w:pos="567"/>
        </w:tabs>
      </w:pPr>
      <w:r w:rsidRPr="00B740CB">
        <w:t xml:space="preserve">Concernant les taux autodéclarés pour les </w:t>
      </w:r>
      <w:r w:rsidR="001D34C2" w:rsidRPr="00B740CB">
        <w:t xml:space="preserve">petits paquets (E) </w:t>
      </w:r>
      <w:r w:rsidRPr="00B740CB">
        <w:t>de la poste aux lettres applicables aux flux de la poste aux lettres entre les opérateurs désignés autres que celui des États-Unis d’Amérique, les taux</w:t>
      </w:r>
      <w:r w:rsidR="008E7378" w:rsidRPr="00B740CB">
        <w:t xml:space="preserve"> autodéclarés notifiés pour </w:t>
      </w:r>
      <w:r w:rsidR="001D34C2" w:rsidRPr="00B740CB">
        <w:t xml:space="preserve">2027 </w:t>
      </w:r>
      <w:r w:rsidRPr="00B740CB">
        <w:t xml:space="preserve">ne doivent pas être plus élevés que les taux plafonds ou les revenus maximaux de </w:t>
      </w:r>
      <w:r w:rsidR="001D34C2" w:rsidRPr="00B740CB">
        <w:t>2027</w:t>
      </w:r>
      <w:r w:rsidRPr="00B740CB">
        <w:t xml:space="preserve">. Plus précisément, les taux autodéclarés sont fixés, au maximum, soit sur le revenu calculé sur la base des taux plafonds spécifiques aux pays, soit sur le revenu en </w:t>
      </w:r>
      <w:r w:rsidR="001D34C2" w:rsidRPr="00B740CB">
        <w:t xml:space="preserve">2026 </w:t>
      </w:r>
      <w:r w:rsidRPr="00B740CB">
        <w:t>aug</w:t>
      </w:r>
      <w:r w:rsidR="008E7378" w:rsidRPr="00B740CB">
        <w:t xml:space="preserve">menté </w:t>
      </w:r>
      <w:r w:rsidR="001D34C2" w:rsidRPr="00B740CB">
        <w:t xml:space="preserve">jusqu’à un maximum </w:t>
      </w:r>
      <w:r w:rsidR="008E7378" w:rsidRPr="00B740CB">
        <w:t xml:space="preserve">de </w:t>
      </w:r>
      <w:r w:rsidR="001D34C2" w:rsidRPr="00B740CB">
        <w:t>12</w:t>
      </w:r>
      <w:r w:rsidRPr="00B740CB">
        <w:t xml:space="preserve">% </w:t>
      </w:r>
      <w:r w:rsidR="001D34C2" w:rsidRPr="00B740CB">
        <w:t xml:space="preserve">selon l’article 30.3 de la Convention </w:t>
      </w:r>
      <w:r w:rsidRPr="00B740CB">
        <w:t xml:space="preserve">pour un </w:t>
      </w:r>
      <w:r w:rsidR="001D34C2" w:rsidRPr="00B740CB">
        <w:t>petit paquet</w:t>
      </w:r>
      <w:r w:rsidR="00F3515E" w:rsidRPr="00B740CB">
        <w:t xml:space="preserve"> (E) </w:t>
      </w:r>
      <w:r w:rsidRPr="00B740CB">
        <w:t xml:space="preserve">de </w:t>
      </w:r>
      <w:r w:rsidR="00810177" w:rsidRPr="00B740CB">
        <w:t>273</w:t>
      </w:r>
      <w:r w:rsidRPr="00B740CB">
        <w:t xml:space="preserve"> grammes, la valeur la plus basse étant retenue.</w:t>
      </w:r>
    </w:p>
    <w:p w14:paraId="794A4D3B" w14:textId="65942C66" w:rsidR="00767DD4" w:rsidRPr="00B740CB" w:rsidRDefault="00767DD4" w:rsidP="00795673">
      <w:pPr>
        <w:pStyle w:val="1Premierretrait"/>
        <w:numPr>
          <w:ilvl w:val="0"/>
          <w:numId w:val="13"/>
        </w:numPr>
        <w:tabs>
          <w:tab w:val="clear" w:pos="567"/>
        </w:tabs>
      </w:pPr>
      <w:r w:rsidRPr="00B740CB">
        <w:t>Il convient de préciser le taux de taxe sur la valeur ajoutée (TVA) et des autres taxes pour les tarifs applicables à un envoi unique pour les services intérieurs susmentionnés. Lors</w:t>
      </w:r>
      <w:r w:rsidR="008E7378" w:rsidRPr="00B740CB">
        <w:t xml:space="preserve">que, conformément </w:t>
      </w:r>
      <w:r w:rsidR="001D34C2" w:rsidRPr="00B740CB">
        <w:t>à l’article 30.1 de la Convention</w:t>
      </w:r>
      <w:r w:rsidRPr="00B740CB">
        <w:t>, de multiples services sont utilisés aux fins de la notification des tarifs intérieurs, le taux de TVA correspondant à chacun de ces services doit être clairement indiqué.</w:t>
      </w:r>
    </w:p>
    <w:p w14:paraId="3281C6D2" w14:textId="77777777" w:rsidR="00767DD4" w:rsidRPr="00B740CB" w:rsidRDefault="00767DD4" w:rsidP="00795673">
      <w:pPr>
        <w:pStyle w:val="1Premierretrait"/>
        <w:numPr>
          <w:ilvl w:val="0"/>
          <w:numId w:val="13"/>
        </w:numPr>
        <w:tabs>
          <w:tab w:val="clear" w:pos="567"/>
        </w:tabs>
      </w:pPr>
      <w:r w:rsidRPr="00B740CB">
        <w:t>Il convient d’indiquer clairement si le service de base pour lequel les informations sur les tarifs du régime intérieur sont fournies comprend des éléments de service supplémentaires (p. ex. service de recom</w:t>
      </w:r>
      <w:r w:rsidRPr="00B740CB">
        <w:softHyphen/>
        <w:t>mandation (remise contre signature et responsabilité), assurance et/ou suivi), uniquement dans le cas où ces éléments de service spécifiques font partie intégrante du service de distribution, c’est-à-dire s’il est impossible de se procurer ce service sans ledit ou lesdits éléments de service. Veuillez fournir ces informations séparément pour chacun des 11 poids susmentionnés.</w:t>
      </w:r>
    </w:p>
    <w:p w14:paraId="37B53FD4" w14:textId="79AB0828" w:rsidR="00767DD4" w:rsidRPr="00B740CB" w:rsidRDefault="00767DD4" w:rsidP="0034252F">
      <w:pPr>
        <w:pStyle w:val="1Premierretrait"/>
        <w:tabs>
          <w:tab w:val="clear" w:pos="567"/>
        </w:tabs>
        <w:ind w:left="0" w:firstLine="0"/>
        <w:rPr>
          <w:lang w:val="fr-CH"/>
        </w:rPr>
      </w:pPr>
      <w:r w:rsidRPr="00B740CB">
        <w:t xml:space="preserve">Il convient de préciser la source permettant de vérifier toutes les informations fournies. Celle-ci peut prendre la forme d’un site Web en libre accès sur lequel les informations tarifaires et les spécifications de service sont clairement publiées, d’informations publiées dans une brochure relative aux produits, de lois ou de règles applicables au domaine postal, ou d’une confirmation écrite de l’autorité de régulation. </w:t>
      </w:r>
      <w:r w:rsidR="0034252F" w:rsidRPr="00B740CB">
        <w:rPr>
          <w:rFonts w:cs="Arial"/>
        </w:rPr>
        <w:t xml:space="preserve">Une copie d’écran des informations tarifaires disponibles sur un site </w:t>
      </w:r>
      <w:r w:rsidR="00F3515E" w:rsidRPr="00B740CB">
        <w:rPr>
          <w:rFonts w:cs="Arial"/>
        </w:rPr>
        <w:t>W</w:t>
      </w:r>
      <w:r w:rsidR="0034252F" w:rsidRPr="00B740CB">
        <w:rPr>
          <w:rFonts w:cs="Arial"/>
        </w:rPr>
        <w:t>eb de l’opérateur désigné devrait également être transmise en plus de la source pour vérification (si disponible).</w:t>
      </w:r>
      <w:r w:rsidR="001D34C2" w:rsidRPr="00B740CB">
        <w:rPr>
          <w:rFonts w:cs="Arial"/>
          <w:lang w:val="fr-CH"/>
        </w:rPr>
        <w:t xml:space="preserve"> </w:t>
      </w:r>
      <w:r w:rsidRPr="00B740CB">
        <w:rPr>
          <w:lang w:val="fr-CH"/>
        </w:rPr>
        <w:t>Le Bureau international vérifiera les informations en s’appuyant sur les sources fournies.</w:t>
      </w:r>
    </w:p>
    <w:p w14:paraId="30E50E49" w14:textId="3164DA26" w:rsidR="0034252F" w:rsidRPr="00B740CB" w:rsidRDefault="0034252F" w:rsidP="0034252F">
      <w:pPr>
        <w:pStyle w:val="1Premierretrait"/>
        <w:numPr>
          <w:ilvl w:val="0"/>
          <w:numId w:val="13"/>
        </w:numPr>
        <w:rPr>
          <w:rFonts w:cs="Arial"/>
        </w:rPr>
      </w:pPr>
      <w:r w:rsidRPr="00B740CB">
        <w:rPr>
          <w:rFonts w:cs="Arial"/>
        </w:rPr>
        <w:t>Pour les taux des petits paquets (E) en vigueur en 2027, il n’y a aucune contrainte de ratio entre le taux autodéclaré par envoi et le taux par kilogramme. Pour les taux en vigueur en 2028 et les années suivantes, le ratio précédemment mentionné ne devra pas changer de plus de 20 points de pourcentage. Par exemple, si le ratio correspondant aux taux pour les petits paquets (E) était de 80,5% en 2027, les taux autodéclarés par envoi et par kilogramme pour 2028 devraient donner un nouveau ratio situé entre 60,5 et 100,5%. Pour faciliter les références, veuillez noter que les pourcentages sont arrondis à la première décimale, alors que les variations réelles du ratio sont calculées au moyen des taux par envoi et par kilogramme réels avec toutes les décimales.</w:t>
      </w:r>
    </w:p>
    <w:p w14:paraId="28019C39" w14:textId="77777777" w:rsidR="00767DD4" w:rsidRPr="00B740CB" w:rsidRDefault="00767DD4" w:rsidP="00767DD4">
      <w:pPr>
        <w:pStyle w:val="0Textedebase"/>
        <w:rPr>
          <w:lang w:val="fr-CH"/>
        </w:rPr>
      </w:pPr>
    </w:p>
    <w:p w14:paraId="0D8EDF3D" w14:textId="77777777" w:rsidR="006C48F2" w:rsidRPr="00B740CB" w:rsidRDefault="006C48F2" w:rsidP="00767DD4">
      <w:pPr>
        <w:pStyle w:val="0Textedebase"/>
        <w:rPr>
          <w:lang w:val="fr-CH"/>
        </w:rPr>
      </w:pPr>
    </w:p>
    <w:p w14:paraId="1A37932A" w14:textId="03090EF1" w:rsidR="00767DD4" w:rsidRPr="00B740CB" w:rsidRDefault="00767DD4" w:rsidP="00767DD4">
      <w:pPr>
        <w:pStyle w:val="0Textedebase"/>
        <w:rPr>
          <w:b/>
          <w:bCs/>
        </w:rPr>
      </w:pPr>
      <w:r w:rsidRPr="00B740CB">
        <w:rPr>
          <w:b/>
          <w:bCs/>
        </w:rPr>
        <w:t>Notification</w:t>
      </w:r>
    </w:p>
    <w:p w14:paraId="611583EE" w14:textId="77777777" w:rsidR="00767DD4" w:rsidRPr="00B740CB" w:rsidRDefault="00767DD4" w:rsidP="00767DD4">
      <w:pPr>
        <w:pStyle w:val="0Textedebase"/>
      </w:pPr>
    </w:p>
    <w:p w14:paraId="11731ADB" w14:textId="77777777" w:rsidR="00767DD4" w:rsidRPr="00B740CB" w:rsidRDefault="00767DD4" w:rsidP="008E7378">
      <w:pPr>
        <w:pStyle w:val="0Textedebase"/>
      </w:pPr>
      <w:r w:rsidRPr="00B740CB">
        <w:t xml:space="preserve">Les taux autodéclarés (tableau 1) </w:t>
      </w:r>
      <w:r w:rsidR="008E7378" w:rsidRPr="00B740CB">
        <w:t>sont à fournir en monnaie locale ou en DTS;</w:t>
      </w:r>
      <w:r w:rsidRPr="00B740CB">
        <w:t xml:space="preserve"> les informations sur le tarif intérieur (tableaux 2 à 12) so</w:t>
      </w:r>
      <w:r w:rsidR="00795673" w:rsidRPr="00B740CB">
        <w:t>nt à fournir en monnaie locale.</w:t>
      </w:r>
    </w:p>
    <w:p w14:paraId="07D9EB6D" w14:textId="77777777" w:rsidR="00767DD4" w:rsidRPr="00B740CB" w:rsidRDefault="00767DD4" w:rsidP="00767DD4">
      <w:pPr>
        <w:pStyle w:val="0Textedebase"/>
      </w:pPr>
    </w:p>
    <w:p w14:paraId="4E2959FD" w14:textId="77777777" w:rsidR="00767DD4" w:rsidRPr="00B740CB" w:rsidRDefault="00767DD4" w:rsidP="00767DD4">
      <w:pPr>
        <w:pStyle w:val="0Textedebase"/>
        <w:tabs>
          <w:tab w:val="right" w:pos="9631"/>
        </w:tabs>
      </w:pPr>
      <w:r w:rsidRPr="00B740CB">
        <w:t xml:space="preserve">La monnaie locale (nationale) utilisée aux fins de cette notification est: </w:t>
      </w:r>
      <w:r w:rsidRPr="00B740CB">
        <w:rPr>
          <w:u w:val="single"/>
        </w:rPr>
        <w:tab/>
      </w:r>
    </w:p>
    <w:p w14:paraId="236E0AE4" w14:textId="77777777" w:rsidR="00767DD4" w:rsidRPr="00B740CB" w:rsidRDefault="00767DD4" w:rsidP="00767DD4">
      <w:pPr>
        <w:pStyle w:val="0Textedebase"/>
      </w:pPr>
    </w:p>
    <w:p w14:paraId="4FA48759" w14:textId="05FE374D" w:rsidR="00767DD4" w:rsidRPr="00B740CB" w:rsidRDefault="00767DD4" w:rsidP="006C48F2">
      <w:pPr>
        <w:pStyle w:val="0Textedebase"/>
        <w:pageBreakBefore/>
        <w:rPr>
          <w:i/>
          <w:iCs/>
        </w:rPr>
      </w:pPr>
      <w:r w:rsidRPr="00B740CB">
        <w:rPr>
          <w:i/>
          <w:iCs/>
        </w:rPr>
        <w:lastRenderedPageBreak/>
        <w:t>Tableau 1 – Taux autodéclarés pour les envois de la poste aux lettres de format encombrant (E) et les petits paquets (E) prioritaires, hors taxes, exprimés en monnaie</w:t>
      </w:r>
      <w:r w:rsidR="00795673" w:rsidRPr="00B740CB">
        <w:rPr>
          <w:i/>
          <w:iCs/>
        </w:rPr>
        <w:t xml:space="preserve"> locale</w:t>
      </w:r>
      <w:r w:rsidR="005F4E87" w:rsidRPr="00B740CB">
        <w:rPr>
          <w:i/>
          <w:iCs/>
        </w:rPr>
        <w:t xml:space="preserve"> ou DTS</w:t>
      </w:r>
      <w:r w:rsidR="00795673" w:rsidRPr="00B740CB">
        <w:rPr>
          <w:i/>
          <w:iCs/>
        </w:rPr>
        <w:t xml:space="preserve"> pour les flux arrivants</w:t>
      </w:r>
      <w:r w:rsidR="001D34C2" w:rsidRPr="00B740CB">
        <w:rPr>
          <w:rStyle w:val="Appelnotedebasdep"/>
          <w:i/>
          <w:iCs/>
        </w:rPr>
        <w:footnoteReference w:id="2"/>
      </w:r>
    </w:p>
    <w:p w14:paraId="75E935D9" w14:textId="77777777" w:rsidR="00767DD4" w:rsidRPr="00B740CB" w:rsidRDefault="00767DD4" w:rsidP="00767DD4">
      <w:pPr>
        <w:jc w:val="both"/>
        <w:rPr>
          <w:rFonts w:cs="Arial"/>
        </w:rPr>
      </w:pPr>
    </w:p>
    <w:tbl>
      <w:tblPr>
        <w:tblStyle w:val="Grilledutableau"/>
        <w:tblW w:w="5000" w:type="pct"/>
        <w:tblLook w:val="04A0" w:firstRow="1" w:lastRow="0" w:firstColumn="1" w:lastColumn="0" w:noHBand="0" w:noVBand="1"/>
      </w:tblPr>
      <w:tblGrid>
        <w:gridCol w:w="3220"/>
        <w:gridCol w:w="2828"/>
        <w:gridCol w:w="3585"/>
      </w:tblGrid>
      <w:tr w:rsidR="005B448A" w:rsidRPr="00B740CB" w14:paraId="2093CE96" w14:textId="77777777" w:rsidTr="006C48F2">
        <w:tc>
          <w:tcPr>
            <w:tcW w:w="1671" w:type="pct"/>
            <w:tcBorders>
              <w:top w:val="nil"/>
              <w:left w:val="nil"/>
            </w:tcBorders>
          </w:tcPr>
          <w:p w14:paraId="0EC3C1D7" w14:textId="77777777" w:rsidR="005B448A" w:rsidRPr="00B740CB" w:rsidRDefault="005B448A" w:rsidP="00457E32">
            <w:pPr>
              <w:spacing w:before="40" w:after="40"/>
            </w:pPr>
          </w:p>
        </w:tc>
        <w:tc>
          <w:tcPr>
            <w:tcW w:w="1468" w:type="pct"/>
          </w:tcPr>
          <w:p w14:paraId="06F02043" w14:textId="0CC5A12B" w:rsidR="005B448A" w:rsidRPr="00B740CB" w:rsidRDefault="005B448A" w:rsidP="0013735E">
            <w:pPr>
              <w:spacing w:before="40" w:after="40"/>
              <w:ind w:right="-107"/>
              <w:rPr>
                <w:i/>
                <w:iCs/>
              </w:rPr>
            </w:pPr>
            <w:r w:rsidRPr="00B740CB">
              <w:rPr>
                <w:i/>
                <w:iCs/>
              </w:rPr>
              <w:t>Pour les flux en provenance de tous les pays, à l’exception des États-Unis d’Amérique</w:t>
            </w:r>
          </w:p>
        </w:tc>
        <w:tc>
          <w:tcPr>
            <w:tcW w:w="1861" w:type="pct"/>
          </w:tcPr>
          <w:p w14:paraId="451264EF" w14:textId="77777777" w:rsidR="005B448A" w:rsidRPr="00B740CB" w:rsidRDefault="005B448A" w:rsidP="006C48F2">
            <w:pPr>
              <w:spacing w:before="40" w:after="40"/>
              <w:ind w:right="-112"/>
              <w:rPr>
                <w:i/>
                <w:iCs/>
              </w:rPr>
            </w:pPr>
            <w:r w:rsidRPr="00B740CB">
              <w:rPr>
                <w:i/>
                <w:iCs/>
              </w:rPr>
              <w:t>Pour les flux en provenance des États-Unis d’Amérique (non applicables aux États-Unis d’Amérique)</w:t>
            </w:r>
          </w:p>
        </w:tc>
      </w:tr>
      <w:tr w:rsidR="005B448A" w:rsidRPr="00B740CB" w14:paraId="6BB68A3E" w14:textId="77777777" w:rsidTr="006C48F2">
        <w:tc>
          <w:tcPr>
            <w:tcW w:w="1671" w:type="pct"/>
          </w:tcPr>
          <w:p w14:paraId="61691BF1" w14:textId="77777777" w:rsidR="005B448A" w:rsidRPr="00B740CB" w:rsidRDefault="005B448A" w:rsidP="008E7378">
            <w:pPr>
              <w:spacing w:before="40" w:after="40"/>
            </w:pPr>
            <w:r w:rsidRPr="00B740CB">
              <w:t>Taux autodéclaré par envoi</w:t>
            </w:r>
          </w:p>
        </w:tc>
        <w:tc>
          <w:tcPr>
            <w:tcW w:w="1468" w:type="pct"/>
          </w:tcPr>
          <w:p w14:paraId="1861E962" w14:textId="77777777" w:rsidR="005B448A" w:rsidRPr="00B740CB" w:rsidRDefault="005B448A" w:rsidP="00457E32">
            <w:pPr>
              <w:spacing w:before="40" w:after="40"/>
            </w:pPr>
          </w:p>
        </w:tc>
        <w:tc>
          <w:tcPr>
            <w:tcW w:w="1861" w:type="pct"/>
          </w:tcPr>
          <w:p w14:paraId="7F431F9A" w14:textId="77777777" w:rsidR="005B448A" w:rsidRPr="00B740CB" w:rsidRDefault="005B448A" w:rsidP="00457E32">
            <w:pPr>
              <w:spacing w:before="40" w:after="40"/>
            </w:pPr>
          </w:p>
        </w:tc>
      </w:tr>
      <w:tr w:rsidR="005B448A" w:rsidRPr="00B740CB" w14:paraId="4FC0BD4E" w14:textId="77777777" w:rsidTr="006C48F2">
        <w:tc>
          <w:tcPr>
            <w:tcW w:w="1671" w:type="pct"/>
          </w:tcPr>
          <w:p w14:paraId="54E263A9" w14:textId="77777777" w:rsidR="005B448A" w:rsidRPr="00B740CB" w:rsidRDefault="005B448A" w:rsidP="008E7378">
            <w:pPr>
              <w:spacing w:before="40" w:after="40"/>
            </w:pPr>
            <w:r w:rsidRPr="00B740CB">
              <w:t>Taux autodéclaré par kilogramme</w:t>
            </w:r>
          </w:p>
        </w:tc>
        <w:tc>
          <w:tcPr>
            <w:tcW w:w="1468" w:type="pct"/>
          </w:tcPr>
          <w:p w14:paraId="0C161D0B" w14:textId="77777777" w:rsidR="005B448A" w:rsidRPr="00B740CB" w:rsidRDefault="005B448A" w:rsidP="00457E32">
            <w:pPr>
              <w:spacing w:before="40" w:after="40"/>
            </w:pPr>
          </w:p>
        </w:tc>
        <w:tc>
          <w:tcPr>
            <w:tcW w:w="1861" w:type="pct"/>
          </w:tcPr>
          <w:p w14:paraId="4764EFE2" w14:textId="77777777" w:rsidR="005B448A" w:rsidRPr="00B740CB" w:rsidRDefault="005B448A" w:rsidP="00457E32">
            <w:pPr>
              <w:spacing w:before="40" w:after="40"/>
            </w:pPr>
          </w:p>
        </w:tc>
      </w:tr>
      <w:tr w:rsidR="005B448A" w:rsidRPr="00B740CB" w14:paraId="13E02238" w14:textId="77777777" w:rsidTr="006C48F2">
        <w:tc>
          <w:tcPr>
            <w:tcW w:w="1671" w:type="pct"/>
          </w:tcPr>
          <w:p w14:paraId="7F9C1276" w14:textId="14C4979C" w:rsidR="005B448A" w:rsidRPr="00B740CB" w:rsidRDefault="005B448A" w:rsidP="005B448A">
            <w:pPr>
              <w:spacing w:before="40" w:after="40"/>
            </w:pPr>
            <w:r w:rsidRPr="00B740CB">
              <w:rPr>
                <w:i/>
                <w:iCs/>
              </w:rPr>
              <w:t xml:space="preserve">Monnaie (en monnaie locale </w:t>
            </w:r>
            <w:r w:rsidR="0013735E" w:rsidRPr="00B740CB">
              <w:rPr>
                <w:i/>
                <w:iCs/>
              </w:rPr>
              <w:br/>
            </w:r>
            <w:r w:rsidRPr="00B740CB">
              <w:rPr>
                <w:i/>
                <w:iCs/>
              </w:rPr>
              <w:t>ou en DTS)</w:t>
            </w:r>
          </w:p>
        </w:tc>
        <w:tc>
          <w:tcPr>
            <w:tcW w:w="1468" w:type="pct"/>
          </w:tcPr>
          <w:p w14:paraId="217D32ED" w14:textId="77777777" w:rsidR="005B448A" w:rsidRPr="00B740CB" w:rsidRDefault="005B448A" w:rsidP="00457E32">
            <w:pPr>
              <w:spacing w:before="40" w:after="40"/>
            </w:pPr>
          </w:p>
        </w:tc>
        <w:tc>
          <w:tcPr>
            <w:tcW w:w="1861" w:type="pct"/>
          </w:tcPr>
          <w:p w14:paraId="5B1783E4" w14:textId="77777777" w:rsidR="005B448A" w:rsidRPr="00B740CB" w:rsidRDefault="005B448A" w:rsidP="00457E32">
            <w:pPr>
              <w:spacing w:before="40" w:after="40"/>
            </w:pPr>
          </w:p>
        </w:tc>
      </w:tr>
    </w:tbl>
    <w:p w14:paraId="302B4443" w14:textId="77777777" w:rsidR="00767DD4" w:rsidRPr="00B740CB" w:rsidRDefault="00767DD4" w:rsidP="00767DD4">
      <w:pPr>
        <w:pStyle w:val="0Textedebase"/>
      </w:pPr>
    </w:p>
    <w:p w14:paraId="06E67989" w14:textId="7FF0B326" w:rsidR="001B0D68" w:rsidRPr="00B740CB" w:rsidRDefault="001B0D68" w:rsidP="001B0D68">
      <w:pPr>
        <w:pStyle w:val="0Textedebase"/>
        <w:spacing w:line="220" w:lineRule="atLeast"/>
      </w:pPr>
      <w:r w:rsidRPr="00B740CB">
        <w:t>La question ci-après est uniquement destinée aux opérateurs désignés des pays classés dans le</w:t>
      </w:r>
      <w:r w:rsidR="00F3515E" w:rsidRPr="00B740CB">
        <w:t>s</w:t>
      </w:r>
      <w:r w:rsidRPr="00B740CB">
        <w:t xml:space="preserve"> groupe</w:t>
      </w:r>
      <w:r w:rsidR="00F3515E" w:rsidRPr="00B740CB">
        <w:t>s</w:t>
      </w:r>
      <w:r w:rsidR="00F83EF1" w:rsidRPr="00B740CB">
        <w:t xml:space="preserve"> B</w:t>
      </w:r>
      <w:r w:rsidRPr="00B740CB">
        <w:t xml:space="preserve"> </w:t>
      </w:r>
      <w:r w:rsidR="00F83EF1" w:rsidRPr="00B740CB">
        <w:t>et C</w:t>
      </w:r>
      <w:r w:rsidRPr="00B740CB">
        <w:t xml:space="preserve"> du système de classificat</w:t>
      </w:r>
      <w:r w:rsidR="00F83EF1" w:rsidRPr="00B740CB">
        <w:t>ion des pays aux fins de la rémunération (</w:t>
      </w:r>
      <w:r w:rsidR="001D34C2" w:rsidRPr="00B740CB">
        <w:t>résolution C 4/2025 du Congrès</w:t>
      </w:r>
      <w:r w:rsidR="00F3515E" w:rsidRPr="00B740CB">
        <w:t xml:space="preserve"> de Doubaï</w:t>
      </w:r>
      <w:r w:rsidR="00F83EF1" w:rsidRPr="00B740CB">
        <w:t>)</w:t>
      </w:r>
      <w:r w:rsidRPr="00B740CB">
        <w:t>.</w:t>
      </w:r>
    </w:p>
    <w:p w14:paraId="52D14347" w14:textId="77777777" w:rsidR="001B0D68" w:rsidRPr="00B740CB" w:rsidRDefault="001B0D68" w:rsidP="001B0D68">
      <w:pPr>
        <w:pStyle w:val="0Textedebase"/>
        <w:spacing w:line="220" w:lineRule="atLeast"/>
      </w:pPr>
    </w:p>
    <w:p w14:paraId="410ED1B6" w14:textId="41A15E4B" w:rsidR="001B0D68" w:rsidRPr="00B740CB" w:rsidRDefault="001B0D68" w:rsidP="001B0D68">
      <w:pPr>
        <w:pStyle w:val="0Textedebase"/>
        <w:spacing w:line="220" w:lineRule="atLeast"/>
      </w:pPr>
      <w:r w:rsidRPr="00B740CB">
        <w:t xml:space="preserve">L’opérateur désigné </w:t>
      </w:r>
      <w:r w:rsidR="00F3515E" w:rsidRPr="00B740CB">
        <w:t xml:space="preserve">précité </w:t>
      </w:r>
      <w:r w:rsidRPr="00B740CB">
        <w:t xml:space="preserve">souhaite appliquer des taux </w:t>
      </w:r>
      <w:r w:rsidR="00F3515E" w:rsidRPr="00B740CB">
        <w:t xml:space="preserve">autodéclarés </w:t>
      </w:r>
      <w:r w:rsidRPr="00B740CB">
        <w:t xml:space="preserve">de frais terminaux pour le format E, sur la base de la réciprocité, avec l’opérateur désigné des États-Unis d’Amérique lorsque ses flux partants à destination de ce pays sont inférieurs aux seuils définis </w:t>
      </w:r>
      <w:r w:rsidR="00F3515E" w:rsidRPr="00B740CB">
        <w:t xml:space="preserve">à </w:t>
      </w:r>
      <w:r w:rsidR="001D34C2" w:rsidRPr="00B740CB">
        <w:t>l’article 30.7 de la Co</w:t>
      </w:r>
      <w:r w:rsidR="00F3515E" w:rsidRPr="00B740CB">
        <w:t>n</w:t>
      </w:r>
      <w:r w:rsidR="001D34C2" w:rsidRPr="00B740CB">
        <w:t>vention</w:t>
      </w:r>
      <w:r w:rsidR="0046520C" w:rsidRPr="00B740CB">
        <w:t xml:space="preserve">, à savoir des flux d’envois de la poste aux lettres inférieurs à 15 tonnes </w:t>
      </w:r>
      <w:r w:rsidR="00C16727" w:rsidRPr="00B740CB">
        <w:t>pour les</w:t>
      </w:r>
      <w:r w:rsidR="0046520C" w:rsidRPr="00B740CB">
        <w:t xml:space="preserve"> pays du groupe B et inférieurs à 75 tonnes pour les pays du groupe C</w:t>
      </w:r>
      <w:r w:rsidR="006C48F2" w:rsidRPr="00B740CB">
        <w:t>:</w:t>
      </w:r>
    </w:p>
    <w:p w14:paraId="5F98F855" w14:textId="2C234D69" w:rsidR="001B0D68" w:rsidRPr="00B740CB" w:rsidRDefault="001B0D68" w:rsidP="003C3A8D">
      <w:pPr>
        <w:pStyle w:val="0Textedebase"/>
        <w:spacing w:before="120" w:line="220" w:lineRule="atLeast"/>
        <w:ind w:left="567" w:hanging="567"/>
      </w:pPr>
      <w:r w:rsidRPr="00B740CB">
        <w:sym w:font="Wingdings" w:char="F072"/>
      </w:r>
      <w:r w:rsidRPr="00B740CB">
        <w:tab/>
        <w:t>Oui</w:t>
      </w:r>
      <w:r w:rsidR="008B6D79" w:rsidRPr="00B740CB">
        <w:t xml:space="preserve"> </w:t>
      </w:r>
      <w:r w:rsidRPr="00B740CB">
        <w:t>(en choisissant cette option, l’opérateur désigné comprend que l’opérateur désigné partenaire des États-Unis</w:t>
      </w:r>
      <w:r w:rsidR="008B6D79" w:rsidRPr="00B740CB">
        <w:t xml:space="preserve"> d’Amérique</w:t>
      </w:r>
      <w:r w:rsidRPr="00B740CB">
        <w:t xml:space="preserve"> peut faire de même et appliquer des taux autodéclarés, y compris sur les flux </w:t>
      </w:r>
      <w:r w:rsidR="008201CE" w:rsidRPr="00B740CB">
        <w:t>inférieurs à 15 tonnes en provenance de pays du groupe B et inférieurs à 75 tonnes en provenance de pays du groupe C)</w:t>
      </w:r>
    </w:p>
    <w:p w14:paraId="47C2054E" w14:textId="3017AEB6" w:rsidR="001B0D68" w:rsidRPr="00B740CB" w:rsidRDefault="001B0D68" w:rsidP="003C3A8D">
      <w:pPr>
        <w:pStyle w:val="0Textedebase"/>
        <w:spacing w:before="120" w:line="220" w:lineRule="atLeast"/>
        <w:ind w:left="567" w:hanging="567"/>
      </w:pPr>
      <w:r w:rsidRPr="00B740CB">
        <w:sym w:font="Wingdings" w:char="F072"/>
      </w:r>
      <w:r w:rsidRPr="00B740CB">
        <w:tab/>
        <w:t>Non</w:t>
      </w:r>
      <w:r w:rsidR="008B6D79" w:rsidRPr="00B740CB">
        <w:t xml:space="preserve"> </w:t>
      </w:r>
      <w:r w:rsidRPr="00B740CB">
        <w:t>(en choisissant cette option, l’opérateur désigné comprend que l’opérateur désigné partenaire des États-Unis</w:t>
      </w:r>
      <w:r w:rsidR="008B6D79" w:rsidRPr="00B740CB">
        <w:t xml:space="preserve"> d’Amérique</w:t>
      </w:r>
      <w:r w:rsidRPr="00B740CB">
        <w:t xml:space="preserve"> n’est pas autorisé à appliquer des taux autodéclarés sur les flux </w:t>
      </w:r>
      <w:r w:rsidR="003B1F3F" w:rsidRPr="00B740CB">
        <w:t>de la poste aux lettres inférieurs à 15 tonnes en provenance de pays du groupe B et inférieurs à 75 tonnes en provenance de pays du groupe C</w:t>
      </w:r>
      <w:r w:rsidRPr="00B740CB">
        <w:t xml:space="preserve">. L’opérateur désigné comprend également que, </w:t>
      </w:r>
      <w:r w:rsidR="008424BE" w:rsidRPr="00B740CB">
        <w:t xml:space="preserve">au titre </w:t>
      </w:r>
      <w:r w:rsidRPr="00B740CB">
        <w:t xml:space="preserve">du principe de réciprocité, il ne peut pas appliquer des </w:t>
      </w:r>
      <w:r w:rsidR="00F3515E" w:rsidRPr="00B740CB">
        <w:t>taux autodéclarés de frais terminaux</w:t>
      </w:r>
      <w:r w:rsidRPr="00B740CB">
        <w:t xml:space="preserve"> pour le format E sur les flux de courrier en provenance de l’opérateur désigné </w:t>
      </w:r>
      <w:r w:rsidR="00856430" w:rsidRPr="00B740CB">
        <w:t>des États-Unis</w:t>
      </w:r>
      <w:r w:rsidR="008B6D79" w:rsidRPr="00B740CB">
        <w:t xml:space="preserve"> d’Amérique</w:t>
      </w:r>
      <w:r w:rsidRPr="00B740CB">
        <w:t xml:space="preserve"> si les </w:t>
      </w:r>
      <w:r w:rsidR="00707BAC" w:rsidRPr="00B740CB">
        <w:t>flux à destination des États-Unis d’Amérique sont inférieurs aux seuils susmentionnés</w:t>
      </w:r>
      <w:r w:rsidRPr="00B740CB">
        <w:t>)</w:t>
      </w:r>
    </w:p>
    <w:p w14:paraId="79526968" w14:textId="52B8C2E3" w:rsidR="00F3387F" w:rsidRPr="00B740CB" w:rsidRDefault="00F3387F" w:rsidP="00767DD4">
      <w:pPr>
        <w:pStyle w:val="0Textedebase"/>
      </w:pPr>
    </w:p>
    <w:p w14:paraId="7959CB9E" w14:textId="77777777" w:rsidR="0034252F" w:rsidRPr="00B740CB" w:rsidRDefault="0034252F" w:rsidP="0034252F">
      <w:pPr>
        <w:pStyle w:val="0Textedebase"/>
        <w:tabs>
          <w:tab w:val="left" w:pos="0"/>
        </w:tabs>
        <w:rPr>
          <w:rFonts w:cs="Arial"/>
        </w:rPr>
      </w:pPr>
      <w:r w:rsidRPr="00B740CB">
        <w:rPr>
          <w:rFonts w:cs="Arial"/>
        </w:rPr>
        <w:t xml:space="preserve">Les opérateurs désignés des pays classés dans le groupe C peuvent réviser le ratio coût/tarif conformément à l’article 30.8.2 de la Convention. Si l’autorité compétente détermine qu’afin de couvrir tous les coûts les taux plafonds des petits paquets (E) doivent être basés sur un ratio coût/tarif dépassant 70% de la taxe applicable à un envoi unique du régime intérieur, le ratio applicable doit être indiqué ci-dessous. </w:t>
      </w:r>
    </w:p>
    <w:p w14:paraId="2C5CF486" w14:textId="77777777" w:rsidR="00176BFE" w:rsidRPr="00B740CB" w:rsidRDefault="00176BFE" w:rsidP="0034252F">
      <w:pPr>
        <w:pStyle w:val="0Textedebase"/>
        <w:tabs>
          <w:tab w:val="left" w:pos="0"/>
        </w:tabs>
        <w:rPr>
          <w:rFonts w:cs="Arial"/>
        </w:rPr>
      </w:pPr>
    </w:p>
    <w:p w14:paraId="04E55F44" w14:textId="7F80FE28" w:rsidR="0034252F" w:rsidRPr="00B740CB" w:rsidRDefault="0034252F" w:rsidP="0034252F">
      <w:pPr>
        <w:pStyle w:val="0Textedebase"/>
        <w:tabs>
          <w:tab w:val="left" w:pos="0"/>
        </w:tabs>
        <w:rPr>
          <w:rFonts w:cs="Arial"/>
        </w:rPr>
      </w:pPr>
      <w:r w:rsidRPr="00B740CB">
        <w:rPr>
          <w:rFonts w:cs="Arial"/>
        </w:rPr>
        <w:t xml:space="preserve">Lorsque cette disposition est appliquée, des informations venant appuyer cette application (notamment la validation écrite des informations en question par l’autorité compétente) doivent être transmises au </w:t>
      </w:r>
      <w:r w:rsidR="00176BFE" w:rsidRPr="00B740CB">
        <w:rPr>
          <w:rFonts w:cs="Arial"/>
        </w:rPr>
        <w:t xml:space="preserve">Bureau </w:t>
      </w:r>
      <w:r w:rsidRPr="00B740CB">
        <w:rPr>
          <w:rFonts w:cs="Arial"/>
        </w:rPr>
        <w:t>international en même temps que la notification.</w:t>
      </w:r>
    </w:p>
    <w:p w14:paraId="1CAA9D15" w14:textId="77777777" w:rsidR="001D34C2" w:rsidRPr="00B740CB" w:rsidRDefault="001D34C2" w:rsidP="001D34C2">
      <w:pPr>
        <w:pStyle w:val="0Textedebase"/>
        <w:spacing w:line="220" w:lineRule="atLeast"/>
        <w:rPr>
          <w:i/>
          <w:iCs/>
        </w:rPr>
      </w:pPr>
    </w:p>
    <w:tbl>
      <w:tblPr>
        <w:tblStyle w:val="Grilledutableau"/>
        <w:tblW w:w="5000" w:type="pct"/>
        <w:tblLook w:val="04A0" w:firstRow="1" w:lastRow="0" w:firstColumn="1" w:lastColumn="0" w:noHBand="0" w:noVBand="1"/>
      </w:tblPr>
      <w:tblGrid>
        <w:gridCol w:w="4814"/>
        <w:gridCol w:w="4814"/>
      </w:tblGrid>
      <w:tr w:rsidR="001D34C2" w:rsidRPr="00B740CB" w14:paraId="6E30BD42" w14:textId="77777777" w:rsidTr="00B83548">
        <w:trPr>
          <w:trHeight w:val="70"/>
        </w:trPr>
        <w:tc>
          <w:tcPr>
            <w:tcW w:w="2500" w:type="pct"/>
            <w:tcBorders>
              <w:bottom w:val="single" w:sz="4" w:space="0" w:color="auto"/>
            </w:tcBorders>
          </w:tcPr>
          <w:p w14:paraId="5858E09B" w14:textId="3C30784E" w:rsidR="001D34C2" w:rsidRPr="00B740CB" w:rsidRDefault="0034252F" w:rsidP="00B83548">
            <w:pPr>
              <w:spacing w:before="60" w:after="60"/>
              <w:rPr>
                <w:lang w:val="en-US"/>
              </w:rPr>
            </w:pPr>
            <w:r w:rsidRPr="00B740CB">
              <w:rPr>
                <w:rFonts w:eastAsia="Calibri" w:cs="Arial"/>
                <w:lang w:eastAsia="en-US"/>
              </w:rPr>
              <w:t>Ratio coûts-tarifs révisé (%)</w:t>
            </w:r>
          </w:p>
        </w:tc>
        <w:tc>
          <w:tcPr>
            <w:tcW w:w="2500" w:type="pct"/>
            <w:tcBorders>
              <w:bottom w:val="single" w:sz="4" w:space="0" w:color="auto"/>
            </w:tcBorders>
          </w:tcPr>
          <w:p w14:paraId="64AD7A11" w14:textId="77777777" w:rsidR="001D34C2" w:rsidRPr="00B740CB" w:rsidRDefault="001D34C2" w:rsidP="00B83548">
            <w:pPr>
              <w:spacing w:before="60" w:after="60"/>
              <w:rPr>
                <w:lang w:val="en-US"/>
              </w:rPr>
            </w:pPr>
          </w:p>
        </w:tc>
      </w:tr>
    </w:tbl>
    <w:p w14:paraId="15196DA9" w14:textId="77777777" w:rsidR="001D34C2" w:rsidRPr="00B740CB" w:rsidRDefault="001D34C2" w:rsidP="00767DD4">
      <w:pPr>
        <w:pStyle w:val="0Textedebase"/>
        <w:rPr>
          <w:lang w:val="en-US"/>
        </w:rPr>
      </w:pPr>
    </w:p>
    <w:p w14:paraId="24A3F36F" w14:textId="1DE4D65E" w:rsidR="00767DD4" w:rsidRPr="00B740CB" w:rsidRDefault="00767DD4" w:rsidP="005B448A">
      <w:pPr>
        <w:pStyle w:val="0Textedebase"/>
        <w:rPr>
          <w:i/>
          <w:iCs/>
        </w:rPr>
      </w:pPr>
      <w:r w:rsidRPr="00B740CB">
        <w:rPr>
          <w:i/>
          <w:iCs/>
        </w:rPr>
        <w:t>Tableau 2 – Tarif intérieur pour un petit paquet (E) de la poste aux lettres prioritaire de 20 grammes dans le cadre du service intérieur, entrant en vigueur au 1</w:t>
      </w:r>
      <w:r w:rsidRPr="00B740CB">
        <w:rPr>
          <w:i/>
          <w:iCs/>
          <w:vertAlign w:val="superscript"/>
        </w:rPr>
        <w:t>er</w:t>
      </w:r>
      <w:r w:rsidRPr="00B740CB">
        <w:rPr>
          <w:i/>
          <w:iCs/>
        </w:rPr>
        <w:t xml:space="preserve"> </w:t>
      </w:r>
      <w:r w:rsidR="00A61F2D" w:rsidRPr="00B740CB">
        <w:rPr>
          <w:i/>
          <w:iCs/>
        </w:rPr>
        <w:t>mai</w:t>
      </w:r>
      <w:r w:rsidRPr="00B740CB">
        <w:rPr>
          <w:i/>
          <w:iCs/>
        </w:rPr>
        <w:t xml:space="preserve"> </w:t>
      </w:r>
      <w:r w:rsidR="001D34C2" w:rsidRPr="00B740CB">
        <w:rPr>
          <w:i/>
          <w:iCs/>
        </w:rPr>
        <w:t>2026</w:t>
      </w:r>
    </w:p>
    <w:p w14:paraId="40BEB201" w14:textId="77777777" w:rsidR="00767DD4" w:rsidRPr="00B740CB" w:rsidRDefault="00767DD4" w:rsidP="00767DD4">
      <w:pPr>
        <w:pStyle w:val="0Textedebase"/>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02BA1CFE" w14:textId="77777777" w:rsidTr="006C48F2">
        <w:trPr>
          <w:cantSplit/>
        </w:trPr>
        <w:tc>
          <w:tcPr>
            <w:tcW w:w="2646" w:type="pct"/>
            <w:shd w:val="clear" w:color="auto" w:fill="auto"/>
          </w:tcPr>
          <w:p w14:paraId="6EBFB18B" w14:textId="77777777" w:rsidR="00767DD4" w:rsidRPr="00B740CB" w:rsidRDefault="00767DD4" w:rsidP="00795673">
            <w:pPr>
              <w:spacing w:before="40" w:after="40"/>
              <w:rPr>
                <w:rFonts w:cs="Arial"/>
              </w:rPr>
            </w:pPr>
            <w:r w:rsidRPr="00B740CB">
              <w:t xml:space="preserve">Taux si une tarification par zone ne s’applique pas </w:t>
            </w:r>
            <w:r w:rsidR="00795673" w:rsidRPr="00B740CB">
              <w:br/>
            </w:r>
            <w:r w:rsidRPr="00B740CB">
              <w:t>(en monnaie locale)</w:t>
            </w:r>
          </w:p>
        </w:tc>
        <w:tc>
          <w:tcPr>
            <w:tcW w:w="2354" w:type="pct"/>
            <w:shd w:val="clear" w:color="auto" w:fill="auto"/>
          </w:tcPr>
          <w:p w14:paraId="4B0B11E3" w14:textId="77777777" w:rsidR="00767DD4" w:rsidRPr="00B740CB" w:rsidRDefault="00767DD4" w:rsidP="00457E32">
            <w:pPr>
              <w:spacing w:before="40" w:after="40"/>
              <w:rPr>
                <w:rFonts w:cs="Arial"/>
              </w:rPr>
            </w:pPr>
          </w:p>
        </w:tc>
      </w:tr>
      <w:tr w:rsidR="00767DD4" w:rsidRPr="00B740CB" w14:paraId="40486AFB" w14:textId="77777777" w:rsidTr="006C48F2">
        <w:trPr>
          <w:cantSplit/>
        </w:trPr>
        <w:tc>
          <w:tcPr>
            <w:tcW w:w="2646" w:type="pct"/>
            <w:shd w:val="clear" w:color="auto" w:fill="auto"/>
          </w:tcPr>
          <w:p w14:paraId="38F6E27D" w14:textId="1D9B25C9" w:rsidR="00767DD4" w:rsidRPr="00B740CB" w:rsidRDefault="00767DD4" w:rsidP="00457E32">
            <w:pPr>
              <w:spacing w:before="40" w:after="40"/>
              <w:rPr>
                <w:rFonts w:cs="Arial"/>
              </w:rPr>
            </w:pPr>
            <w:r w:rsidRPr="00B740CB">
              <w:t>Taux si une tarification par zone s’applique</w:t>
            </w:r>
            <w:r w:rsidR="001D34C2" w:rsidRPr="00B740CB">
              <w:t xml:space="preserve"> (en monnaie locale)</w:t>
            </w:r>
          </w:p>
        </w:tc>
        <w:tc>
          <w:tcPr>
            <w:tcW w:w="2354" w:type="pct"/>
            <w:shd w:val="clear" w:color="auto" w:fill="auto"/>
          </w:tcPr>
          <w:p w14:paraId="725BA150" w14:textId="77777777" w:rsidR="00767DD4" w:rsidRPr="00B740CB" w:rsidRDefault="00767DD4" w:rsidP="00457E32">
            <w:pPr>
              <w:spacing w:before="40" w:after="40"/>
              <w:rPr>
                <w:rFonts w:cs="Arial"/>
              </w:rPr>
            </w:pPr>
          </w:p>
        </w:tc>
      </w:tr>
      <w:tr w:rsidR="00767DD4" w:rsidRPr="00B740CB" w14:paraId="2DB8A60C"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53CEED5" w14:textId="77777777" w:rsidR="00767DD4" w:rsidRPr="00B740CB" w:rsidRDefault="00767DD4" w:rsidP="00457E32">
            <w:pPr>
              <w:spacing w:before="40" w:after="40"/>
              <w:rPr>
                <w:rFonts w:cs="Arial"/>
              </w:rPr>
            </w:pPr>
            <w:r w:rsidRPr="00B740CB">
              <w:lastRenderedPageBreak/>
              <w:t>Si une tarification par zone s’applique, veuillez indiquer la méthode utilisée pour déterminer cette tarification:</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DA33E70" w14:textId="3B6D18DB" w:rsidR="00767DD4" w:rsidRPr="00B740CB" w:rsidRDefault="00767DD4" w:rsidP="00795673">
            <w:pPr>
              <w:spacing w:before="40" w:after="40"/>
              <w:ind w:left="319" w:hanging="319"/>
              <w:rPr>
                <w:rFonts w:cs="Arial"/>
              </w:rPr>
            </w:pPr>
            <w:r w:rsidRPr="00B740CB">
              <w:rPr>
                <w:sz w:val="24"/>
                <w:szCs w:val="24"/>
              </w:rPr>
              <w:sym w:font="Wingdings" w:char="F072"/>
            </w:r>
            <w:r w:rsidRPr="00B740CB">
              <w:rPr>
                <w:sz w:val="24"/>
                <w:szCs w:val="24"/>
              </w:rPr>
              <w:tab/>
            </w:r>
            <w:r w:rsidRPr="00B740CB">
              <w:t>La tarification par zone indiquée ci-dessus correspond à la distance moyenne réelle pondérée parcourue par les petits paquets (E)</w:t>
            </w:r>
            <w:r w:rsidR="00176BFE" w:rsidRPr="00B740CB" w:rsidDel="00176BFE">
              <w:t xml:space="preserve"> </w:t>
            </w:r>
            <w:r w:rsidRPr="00B740CB">
              <w:t>de la poste aux lettres</w:t>
            </w:r>
            <w:r w:rsidRPr="00B740CB">
              <w:rPr>
                <w:rStyle w:val="Appelnotedebasdep"/>
                <w:rFonts w:cs="Arial"/>
              </w:rPr>
              <w:footnoteReference w:id="3"/>
            </w:r>
          </w:p>
          <w:p w14:paraId="4D9D7C5C" w14:textId="77777777" w:rsidR="00767DD4" w:rsidRPr="00B740CB" w:rsidRDefault="00767DD4" w:rsidP="00795673">
            <w:pPr>
              <w:spacing w:before="40" w:after="40"/>
              <w:ind w:left="319" w:hanging="319"/>
              <w:rPr>
                <w:rFonts w:cs="Arial"/>
              </w:rPr>
            </w:pPr>
            <w:r w:rsidRPr="00B740CB">
              <w:rPr>
                <w:sz w:val="24"/>
                <w:szCs w:val="24"/>
              </w:rPr>
              <w:sym w:font="Wingdings" w:char="F072"/>
            </w:r>
            <w:r w:rsidRPr="00B740CB">
              <w:tab/>
              <w:t>La tarification par zone correspond au tarif médian du système de tarifs intérieurs par zone</w:t>
            </w:r>
          </w:p>
        </w:tc>
      </w:tr>
      <w:tr w:rsidR="00767DD4" w:rsidRPr="00B740CB" w14:paraId="064376F9"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FC6DEEC" w14:textId="77777777" w:rsidR="00767DD4" w:rsidRPr="00B740CB" w:rsidRDefault="00767DD4" w:rsidP="00457E32">
            <w:pPr>
              <w:spacing w:before="40" w:after="40"/>
              <w:rPr>
                <w:rFonts w:cs="Arial"/>
              </w:rPr>
            </w:pPr>
            <w:r w:rsidRPr="00B740CB">
              <w:t>Taux de TVA ou autres taxes incluses dans le tarif</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B62BEEE" w14:textId="77777777" w:rsidR="00767DD4" w:rsidRPr="00B740CB" w:rsidRDefault="00767DD4" w:rsidP="00457E32">
            <w:pPr>
              <w:spacing w:before="40" w:after="40"/>
              <w:rPr>
                <w:rFonts w:cs="Arial"/>
              </w:rPr>
            </w:pPr>
          </w:p>
        </w:tc>
      </w:tr>
      <w:tr w:rsidR="00767DD4" w:rsidRPr="00B740CB" w14:paraId="001942CB"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537DF02" w14:textId="77777777" w:rsidR="00767DD4" w:rsidRPr="00B740CB" w:rsidRDefault="00767DD4" w:rsidP="00457E32">
            <w:pPr>
              <w:spacing w:before="40" w:after="40"/>
              <w:rPr>
                <w:rFonts w:cs="Arial"/>
              </w:rPr>
            </w:pPr>
            <w:r w:rsidRPr="00B740CB">
              <w:t>Format/catégorie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B73448B" w14:textId="77777777" w:rsidR="00767DD4" w:rsidRPr="00B740CB" w:rsidRDefault="00767DD4" w:rsidP="00457E32">
            <w:pPr>
              <w:keepNext/>
              <w:keepLines/>
              <w:spacing w:before="40" w:after="40"/>
              <w:rPr>
                <w:rFonts w:cs="Arial"/>
              </w:rPr>
            </w:pPr>
          </w:p>
        </w:tc>
      </w:tr>
      <w:tr w:rsidR="00767DD4" w:rsidRPr="00B740CB" w14:paraId="67EF84FD" w14:textId="77777777" w:rsidTr="006C48F2">
        <w:trPr>
          <w:cantSplit/>
        </w:trPr>
        <w:tc>
          <w:tcPr>
            <w:tcW w:w="2646" w:type="pct"/>
            <w:vMerge w:val="restart"/>
            <w:tcBorders>
              <w:top w:val="single" w:sz="4" w:space="0" w:color="auto"/>
              <w:left w:val="single" w:sz="4" w:space="0" w:color="auto"/>
              <w:right w:val="single" w:sz="4" w:space="0" w:color="auto"/>
            </w:tcBorders>
            <w:shd w:val="clear" w:color="auto" w:fill="auto"/>
          </w:tcPr>
          <w:p w14:paraId="6424255C" w14:textId="77777777" w:rsidR="00767DD4" w:rsidRPr="00B740CB" w:rsidRDefault="00767DD4" w:rsidP="00457E32">
            <w:pPr>
              <w:spacing w:before="40" w:after="40"/>
              <w:rPr>
                <w:rFonts w:cs="Arial"/>
              </w:rPr>
            </w:pPr>
            <w:r w:rsidRPr="00B740CB">
              <w:t xml:space="preserve">Veuillez indiquer si l’un des éléments de service </w:t>
            </w:r>
            <w:r w:rsidRPr="00B740CB">
              <w:br/>
              <w:t>ci-contre est compris dans le service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9BA1C6E" w14:textId="77777777" w:rsidR="00767DD4" w:rsidRPr="00B740CB" w:rsidRDefault="00767DD4" w:rsidP="00457E32">
            <w:pPr>
              <w:spacing w:before="40" w:after="40"/>
              <w:rPr>
                <w:rFonts w:cs="Arial"/>
              </w:rPr>
            </w:pPr>
            <w:r w:rsidRPr="00B740CB">
              <w:t xml:space="preserve">Recommandation (remise contre signature </w:t>
            </w:r>
            <w:r w:rsidRPr="00B740CB">
              <w:br/>
              <w:t>et responsabilité)</w:t>
            </w:r>
          </w:p>
          <w:p w14:paraId="53E17F8D" w14:textId="77777777" w:rsidR="00767DD4" w:rsidRPr="00B740CB" w:rsidRDefault="00767DD4" w:rsidP="00795673">
            <w:pPr>
              <w:spacing w:before="40" w:after="40"/>
              <w:ind w:left="319" w:hanging="319"/>
              <w:rPr>
                <w:rFonts w:cs="Arial"/>
              </w:rPr>
            </w:pPr>
            <w:r w:rsidRPr="00B740CB">
              <w:rPr>
                <w:sz w:val="24"/>
                <w:szCs w:val="24"/>
              </w:rPr>
              <w:sym w:font="Wingdings" w:char="F072"/>
            </w:r>
            <w:r w:rsidR="00795673" w:rsidRPr="00B740CB">
              <w:tab/>
              <w:t>Oui</w:t>
            </w:r>
          </w:p>
          <w:p w14:paraId="0CE72B07" w14:textId="77777777" w:rsidR="00767DD4" w:rsidRPr="00B740CB" w:rsidRDefault="00767DD4" w:rsidP="00795673">
            <w:pPr>
              <w:spacing w:before="40" w:after="40"/>
              <w:ind w:left="319" w:hanging="319"/>
              <w:rPr>
                <w:rFonts w:cs="Arial"/>
              </w:rPr>
            </w:pPr>
            <w:r w:rsidRPr="00B740CB">
              <w:rPr>
                <w:sz w:val="24"/>
                <w:szCs w:val="24"/>
              </w:rPr>
              <w:sym w:font="Wingdings" w:char="F072"/>
            </w:r>
            <w:r w:rsidR="00795673" w:rsidRPr="00B740CB">
              <w:tab/>
              <w:t>Non</w:t>
            </w:r>
          </w:p>
          <w:p w14:paraId="1B6A671D" w14:textId="77777777" w:rsidR="00767DD4" w:rsidRPr="00B740CB" w:rsidRDefault="00767DD4" w:rsidP="00457E32">
            <w:pPr>
              <w:tabs>
                <w:tab w:val="left" w:pos="4294"/>
              </w:tabs>
              <w:spacing w:before="40" w:after="40"/>
              <w:rPr>
                <w:rFonts w:cs="Arial"/>
                <w:u w:val="single"/>
              </w:rPr>
            </w:pPr>
            <w:r w:rsidRPr="00B740CB">
              <w:t>Tarif intérieur supplémentaire, si disponible:</w:t>
            </w:r>
            <w:r w:rsidRPr="00B740CB">
              <w:rPr>
                <w:rStyle w:val="Appelnotedebasdep"/>
                <w:rFonts w:cs="Arial"/>
              </w:rPr>
              <w:footnoteReference w:id="4"/>
            </w:r>
            <w:r w:rsidRPr="00B740CB">
              <w:t xml:space="preserve"> </w:t>
            </w:r>
            <w:r w:rsidRPr="00B740CB">
              <w:br/>
            </w:r>
            <w:r w:rsidRPr="00B740CB">
              <w:rPr>
                <w:u w:val="single"/>
              </w:rPr>
              <w:tab/>
            </w:r>
          </w:p>
        </w:tc>
      </w:tr>
      <w:tr w:rsidR="00767DD4" w:rsidRPr="00B740CB" w14:paraId="489D6AD4" w14:textId="77777777" w:rsidTr="006C48F2">
        <w:trPr>
          <w:cantSplit/>
        </w:trPr>
        <w:tc>
          <w:tcPr>
            <w:tcW w:w="2646" w:type="pct"/>
            <w:vMerge/>
            <w:tcBorders>
              <w:left w:val="single" w:sz="4" w:space="0" w:color="auto"/>
              <w:right w:val="single" w:sz="4" w:space="0" w:color="auto"/>
            </w:tcBorders>
            <w:shd w:val="clear" w:color="auto" w:fill="auto"/>
          </w:tcPr>
          <w:p w14:paraId="6ACDD498" w14:textId="77777777" w:rsidR="00767DD4" w:rsidRPr="00B740CB" w:rsidRDefault="00767DD4"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7561C0A1" w14:textId="77777777" w:rsidR="00767DD4" w:rsidRPr="00B740CB" w:rsidRDefault="00767DD4" w:rsidP="00457E32">
            <w:pPr>
              <w:spacing w:before="40" w:after="40"/>
              <w:rPr>
                <w:rFonts w:cs="Arial"/>
              </w:rPr>
            </w:pPr>
            <w:r w:rsidRPr="00B740CB">
              <w:t>Assurance</w:t>
            </w:r>
          </w:p>
          <w:p w14:paraId="4227D29B" w14:textId="77777777" w:rsidR="00795673" w:rsidRPr="00B740CB" w:rsidRDefault="00795673" w:rsidP="00795673">
            <w:pPr>
              <w:spacing w:before="40" w:after="40"/>
              <w:ind w:left="319" w:hanging="319"/>
              <w:rPr>
                <w:rFonts w:cs="Arial"/>
              </w:rPr>
            </w:pPr>
            <w:r w:rsidRPr="00B740CB">
              <w:rPr>
                <w:sz w:val="24"/>
                <w:szCs w:val="24"/>
              </w:rPr>
              <w:sym w:font="Wingdings" w:char="F072"/>
            </w:r>
            <w:r w:rsidRPr="00B740CB">
              <w:tab/>
              <w:t>Oui</w:t>
            </w:r>
          </w:p>
          <w:p w14:paraId="0CC7505D" w14:textId="77777777" w:rsidR="00795673" w:rsidRPr="00B740CB" w:rsidRDefault="00795673" w:rsidP="00795673">
            <w:pPr>
              <w:spacing w:before="40" w:after="40"/>
              <w:ind w:left="319" w:hanging="319"/>
              <w:rPr>
                <w:rFonts w:cs="Arial"/>
              </w:rPr>
            </w:pPr>
            <w:r w:rsidRPr="00B740CB">
              <w:rPr>
                <w:sz w:val="24"/>
                <w:szCs w:val="24"/>
              </w:rPr>
              <w:sym w:font="Wingdings" w:char="F072"/>
            </w:r>
            <w:r w:rsidRPr="00B740CB">
              <w:tab/>
              <w:t>Non</w:t>
            </w:r>
          </w:p>
          <w:p w14:paraId="5562C146" w14:textId="77777777" w:rsidR="00767DD4" w:rsidRPr="00B740CB" w:rsidRDefault="00767DD4" w:rsidP="00E93B97">
            <w:pPr>
              <w:tabs>
                <w:tab w:val="left" w:pos="4353"/>
              </w:tabs>
              <w:spacing w:before="40" w:after="40"/>
              <w:rPr>
                <w:rFonts w:cs="Arial"/>
                <w:i/>
                <w:iCs/>
                <w:u w:val="single"/>
              </w:rPr>
            </w:pPr>
            <w:r w:rsidRPr="00B740CB">
              <w:t>Tarif intérieur supplémentaire, si disponible:</w:t>
            </w:r>
            <w:r w:rsidR="00E93B97" w:rsidRPr="00B740CB">
              <w:rPr>
                <w:vertAlign w:val="superscript"/>
              </w:rPr>
              <w:t>2</w:t>
            </w:r>
            <w:r w:rsidRPr="00B740CB">
              <w:t xml:space="preserve"> </w:t>
            </w:r>
            <w:r w:rsidRPr="00B740CB">
              <w:br/>
            </w:r>
            <w:r w:rsidRPr="00B740CB">
              <w:rPr>
                <w:i/>
                <w:iCs/>
                <w:u w:val="single"/>
              </w:rPr>
              <w:tab/>
            </w:r>
          </w:p>
        </w:tc>
      </w:tr>
      <w:tr w:rsidR="00767DD4" w:rsidRPr="00B740CB" w14:paraId="014DDF87" w14:textId="77777777" w:rsidTr="006C48F2">
        <w:trPr>
          <w:cantSplit/>
        </w:trPr>
        <w:tc>
          <w:tcPr>
            <w:tcW w:w="2646" w:type="pct"/>
            <w:vMerge/>
            <w:tcBorders>
              <w:left w:val="single" w:sz="4" w:space="0" w:color="auto"/>
              <w:right w:val="single" w:sz="4" w:space="0" w:color="auto"/>
            </w:tcBorders>
            <w:shd w:val="clear" w:color="auto" w:fill="auto"/>
          </w:tcPr>
          <w:p w14:paraId="5A181D08" w14:textId="77777777" w:rsidR="00767DD4" w:rsidRPr="00B740CB" w:rsidRDefault="00767DD4" w:rsidP="00457E32">
            <w:pPr>
              <w:spacing w:before="40" w:after="40"/>
              <w:rPr>
                <w:rFonts w:cs="Arial"/>
              </w:rPr>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A1EA9D3" w14:textId="77777777" w:rsidR="00767DD4" w:rsidRPr="00B740CB" w:rsidRDefault="00767DD4" w:rsidP="009A2BBC">
            <w:pPr>
              <w:pageBreakBefore/>
              <w:spacing w:before="40" w:after="40"/>
              <w:rPr>
                <w:rFonts w:cs="Arial"/>
              </w:rPr>
            </w:pPr>
            <w:r w:rsidRPr="00B740CB">
              <w:t>Suivi</w:t>
            </w:r>
          </w:p>
          <w:p w14:paraId="3565EF66" w14:textId="77777777" w:rsidR="00E93B97" w:rsidRPr="00B740CB" w:rsidRDefault="00E93B97" w:rsidP="00E93B97">
            <w:pPr>
              <w:spacing w:before="40" w:after="40"/>
              <w:ind w:left="319" w:hanging="319"/>
              <w:rPr>
                <w:rFonts w:cs="Arial"/>
              </w:rPr>
            </w:pPr>
            <w:r w:rsidRPr="00B740CB">
              <w:rPr>
                <w:sz w:val="24"/>
                <w:szCs w:val="24"/>
              </w:rPr>
              <w:sym w:font="Wingdings" w:char="F072"/>
            </w:r>
            <w:r w:rsidRPr="00B740CB">
              <w:tab/>
              <w:t>Oui</w:t>
            </w:r>
          </w:p>
          <w:p w14:paraId="229DFD8A" w14:textId="77777777" w:rsidR="00E93B97" w:rsidRPr="00B740CB" w:rsidRDefault="00E93B97" w:rsidP="00E93B97">
            <w:pPr>
              <w:spacing w:before="40" w:after="40"/>
              <w:ind w:left="319" w:hanging="319"/>
              <w:rPr>
                <w:rFonts w:cs="Arial"/>
              </w:rPr>
            </w:pPr>
            <w:r w:rsidRPr="00B740CB">
              <w:rPr>
                <w:sz w:val="24"/>
                <w:szCs w:val="24"/>
              </w:rPr>
              <w:sym w:font="Wingdings" w:char="F072"/>
            </w:r>
            <w:r w:rsidRPr="00B740CB">
              <w:tab/>
              <w:t>Non</w:t>
            </w:r>
          </w:p>
          <w:p w14:paraId="221456AD" w14:textId="77777777" w:rsidR="00767DD4" w:rsidRPr="00B740CB" w:rsidRDefault="00767DD4" w:rsidP="00792EEC">
            <w:pPr>
              <w:tabs>
                <w:tab w:val="left" w:pos="4320"/>
              </w:tabs>
              <w:spacing w:before="40" w:after="40"/>
              <w:rPr>
                <w:rFonts w:cs="Arial"/>
                <w:i/>
                <w:iCs/>
                <w:u w:val="single"/>
              </w:rPr>
            </w:pPr>
            <w:r w:rsidRPr="00B740CB">
              <w:t>Tarif intérieur supplémentaire, si disponible:</w:t>
            </w:r>
            <w:r w:rsidR="00792EEC" w:rsidRPr="00B740CB">
              <w:rPr>
                <w:vertAlign w:val="superscript"/>
              </w:rPr>
              <w:t xml:space="preserve"> 2</w:t>
            </w:r>
            <w:r w:rsidRPr="00B740CB">
              <w:br/>
            </w:r>
            <w:r w:rsidRPr="00B740CB">
              <w:rPr>
                <w:i/>
                <w:iCs/>
                <w:u w:val="single"/>
              </w:rPr>
              <w:tab/>
            </w:r>
          </w:p>
        </w:tc>
      </w:tr>
      <w:tr w:rsidR="00767DD4" w:rsidRPr="00B740CB" w14:paraId="099179F8"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384E5C2" w14:textId="77777777" w:rsidR="00767DD4" w:rsidRPr="00B740CB" w:rsidRDefault="00767DD4" w:rsidP="00457E32">
            <w:pPr>
              <w:spacing w:before="40" w:after="40"/>
              <w:rPr>
                <w:rFonts w:cs="Arial"/>
              </w:rPr>
            </w:pPr>
            <w:r w:rsidRPr="00B740CB">
              <w:t>Nom du produit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C6F014B" w14:textId="77777777" w:rsidR="00767DD4" w:rsidRPr="00B740CB" w:rsidRDefault="00767DD4" w:rsidP="00457E32">
            <w:pPr>
              <w:spacing w:before="40" w:after="40"/>
              <w:rPr>
                <w:rFonts w:cs="Arial"/>
              </w:rPr>
            </w:pPr>
          </w:p>
        </w:tc>
      </w:tr>
      <w:tr w:rsidR="00767DD4" w:rsidRPr="00B740CB" w14:paraId="3A710911"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A34D106" w14:textId="77777777" w:rsidR="00767DD4" w:rsidRPr="00B740CB" w:rsidRDefault="00767DD4" w:rsidP="00457E32">
            <w:pPr>
              <w:spacing w:before="40" w:after="40"/>
              <w:rPr>
                <w:rFonts w:cs="Arial"/>
              </w:rPr>
            </w:pPr>
            <w:r w:rsidRPr="00B740CB">
              <w:t>Dimensions maximales: largeur–longueur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743ADD8" w14:textId="77777777" w:rsidR="00767DD4" w:rsidRPr="00B740CB" w:rsidRDefault="00767DD4" w:rsidP="00457E32">
            <w:pPr>
              <w:spacing w:before="40" w:after="40"/>
              <w:rPr>
                <w:rFonts w:cs="Arial"/>
              </w:rPr>
            </w:pPr>
          </w:p>
        </w:tc>
      </w:tr>
      <w:tr w:rsidR="00767DD4" w:rsidRPr="00B740CB" w14:paraId="5D3AD3D6"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D75A399" w14:textId="77777777" w:rsidR="00767DD4" w:rsidRPr="00B740CB" w:rsidRDefault="00767DD4" w:rsidP="00457E32">
            <w:pPr>
              <w:spacing w:before="40" w:after="40"/>
              <w:rPr>
                <w:rFonts w:cs="Arial"/>
              </w:rPr>
            </w:pPr>
            <w:r w:rsidRPr="00B740CB">
              <w:t>Épaisseur maximale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511F6EE" w14:textId="77777777" w:rsidR="00767DD4" w:rsidRPr="00B740CB" w:rsidRDefault="00767DD4" w:rsidP="00457E32">
            <w:pPr>
              <w:spacing w:before="40" w:after="40"/>
              <w:rPr>
                <w:rFonts w:cs="Arial"/>
              </w:rPr>
            </w:pPr>
          </w:p>
        </w:tc>
      </w:tr>
      <w:tr w:rsidR="00767DD4" w:rsidRPr="00B740CB" w14:paraId="41CDD3F5" w14:textId="77777777" w:rsidTr="006C48F2">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751AC59" w14:textId="77777777" w:rsidR="00767DD4" w:rsidRPr="00B740CB" w:rsidRDefault="00767DD4" w:rsidP="00457E32">
            <w:pPr>
              <w:spacing w:before="40" w:after="40"/>
              <w:rPr>
                <w:rFonts w:cs="Arial"/>
              </w:rPr>
            </w:pPr>
            <w:r w:rsidRPr="00B740CB">
              <w:t>Adresse du site Web sur lequel ces informations peuvent être consultées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34D9159" w14:textId="77777777" w:rsidR="00767DD4" w:rsidRPr="00B740CB" w:rsidRDefault="00767DD4" w:rsidP="00457E32">
            <w:pPr>
              <w:spacing w:before="40" w:after="40"/>
              <w:rPr>
                <w:rFonts w:cs="Arial"/>
              </w:rPr>
            </w:pPr>
          </w:p>
        </w:tc>
      </w:tr>
    </w:tbl>
    <w:p w14:paraId="10492291" w14:textId="77777777" w:rsidR="00767DD4" w:rsidRPr="00B740CB" w:rsidRDefault="00767DD4" w:rsidP="008D37F9">
      <w:pPr>
        <w:spacing w:line="240" w:lineRule="auto"/>
        <w:jc w:val="both"/>
      </w:pPr>
    </w:p>
    <w:p w14:paraId="60BFCFDE" w14:textId="60E9894D" w:rsidR="00767DD4" w:rsidRPr="00B740CB" w:rsidRDefault="00767DD4" w:rsidP="005B448A">
      <w:pPr>
        <w:jc w:val="both"/>
        <w:rPr>
          <w:i/>
          <w:iCs/>
        </w:rPr>
      </w:pPr>
      <w:r w:rsidRPr="00B740CB">
        <w:rPr>
          <w:i/>
          <w:iCs/>
        </w:rPr>
        <w:t>Tableau 3 – Tarif intérieur pour un petit paquet (E) de la poste aux lettres prioritaire de 35 grammes dans le cadre du service intérieur, entrant en vigueur au 1</w:t>
      </w:r>
      <w:r w:rsidRPr="00B740CB">
        <w:rPr>
          <w:i/>
          <w:iCs/>
          <w:vertAlign w:val="superscript"/>
        </w:rPr>
        <w:t>er</w:t>
      </w:r>
      <w:r w:rsidRPr="00B740CB">
        <w:rPr>
          <w:i/>
          <w:iCs/>
        </w:rPr>
        <w:t xml:space="preserve"> </w:t>
      </w:r>
      <w:r w:rsidR="009100BD" w:rsidRPr="00B740CB">
        <w:rPr>
          <w:i/>
          <w:iCs/>
        </w:rPr>
        <w:t>mai</w:t>
      </w:r>
      <w:r w:rsidRPr="00B740CB">
        <w:rPr>
          <w:i/>
          <w:iCs/>
        </w:rPr>
        <w:t xml:space="preserve"> </w:t>
      </w:r>
      <w:r w:rsidR="001D34C2" w:rsidRPr="00B740CB">
        <w:rPr>
          <w:i/>
          <w:iCs/>
        </w:rPr>
        <w:t>2026</w:t>
      </w:r>
    </w:p>
    <w:p w14:paraId="39966485" w14:textId="77777777" w:rsidR="00767DD4" w:rsidRPr="00B740CB" w:rsidRDefault="00767DD4" w:rsidP="008D37F9">
      <w:pPr>
        <w:spacing w:line="240" w:lineRule="auto"/>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31850E8C" w14:textId="77777777" w:rsidTr="002E7924">
        <w:trPr>
          <w:cantSplit/>
        </w:trPr>
        <w:tc>
          <w:tcPr>
            <w:tcW w:w="2646" w:type="pct"/>
            <w:shd w:val="clear" w:color="auto" w:fill="auto"/>
          </w:tcPr>
          <w:p w14:paraId="599B193B" w14:textId="77777777" w:rsidR="00767DD4" w:rsidRPr="00B740CB" w:rsidRDefault="00767DD4" w:rsidP="00457E32">
            <w:pPr>
              <w:spacing w:before="40" w:after="40"/>
              <w:rPr>
                <w:rFonts w:cs="Arial"/>
              </w:rPr>
            </w:pPr>
            <w:r w:rsidRPr="00B740CB">
              <w:t xml:space="preserve">Taux si une tarification par zone ne s’applique pas </w:t>
            </w:r>
            <w:r w:rsidRPr="00B740CB">
              <w:br/>
              <w:t>(en monnaie locale)</w:t>
            </w:r>
          </w:p>
        </w:tc>
        <w:tc>
          <w:tcPr>
            <w:tcW w:w="2354" w:type="pct"/>
            <w:shd w:val="clear" w:color="auto" w:fill="auto"/>
          </w:tcPr>
          <w:p w14:paraId="2E23E140" w14:textId="77777777" w:rsidR="00767DD4" w:rsidRPr="00B740CB" w:rsidRDefault="00767DD4" w:rsidP="00457E32">
            <w:pPr>
              <w:spacing w:before="40" w:after="40"/>
              <w:rPr>
                <w:rFonts w:cs="Arial"/>
              </w:rPr>
            </w:pPr>
          </w:p>
        </w:tc>
      </w:tr>
      <w:tr w:rsidR="00767DD4" w:rsidRPr="00B740CB" w14:paraId="7E3E34AE" w14:textId="77777777" w:rsidTr="002E7924">
        <w:trPr>
          <w:cantSplit/>
        </w:trPr>
        <w:tc>
          <w:tcPr>
            <w:tcW w:w="2646" w:type="pct"/>
            <w:shd w:val="clear" w:color="auto" w:fill="auto"/>
          </w:tcPr>
          <w:p w14:paraId="588BD079" w14:textId="17C3E8F3" w:rsidR="00767DD4" w:rsidRPr="00B740CB" w:rsidRDefault="00767DD4" w:rsidP="00457E32">
            <w:pPr>
              <w:spacing w:before="40" w:after="40"/>
              <w:rPr>
                <w:rFonts w:cs="Arial"/>
              </w:rPr>
            </w:pPr>
            <w:r w:rsidRPr="00B740CB">
              <w:t>Taux si une tarification par zone s’applique</w:t>
            </w:r>
            <w:r w:rsidR="001D34C2" w:rsidRPr="00B740CB">
              <w:t xml:space="preserve"> (en monnaie locale)</w:t>
            </w:r>
          </w:p>
        </w:tc>
        <w:tc>
          <w:tcPr>
            <w:tcW w:w="2354" w:type="pct"/>
            <w:shd w:val="clear" w:color="auto" w:fill="auto"/>
          </w:tcPr>
          <w:p w14:paraId="06C993F8" w14:textId="77777777" w:rsidR="00767DD4" w:rsidRPr="00B740CB" w:rsidRDefault="00767DD4" w:rsidP="00457E32">
            <w:pPr>
              <w:spacing w:before="40" w:after="40"/>
              <w:rPr>
                <w:rFonts w:cs="Arial"/>
              </w:rPr>
            </w:pPr>
          </w:p>
        </w:tc>
      </w:tr>
      <w:tr w:rsidR="00767DD4" w:rsidRPr="00B740CB" w14:paraId="3681E06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3780221" w14:textId="77777777" w:rsidR="00767DD4" w:rsidRPr="00B740CB" w:rsidRDefault="00767DD4" w:rsidP="00457E32">
            <w:pPr>
              <w:spacing w:before="40" w:after="40"/>
              <w:rPr>
                <w:rFonts w:cs="Arial"/>
              </w:rPr>
            </w:pPr>
            <w:r w:rsidRPr="00B740CB">
              <w:lastRenderedPageBreak/>
              <w:t>Si une tarification par zone s’applique, veuillez indiquer la méthode utilisée pour déterminer cette tarification:</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DF67CD7" w14:textId="237A418F" w:rsidR="00767DD4" w:rsidRPr="00B740CB" w:rsidRDefault="00767DD4" w:rsidP="00E93B97">
            <w:pPr>
              <w:spacing w:before="40" w:after="40"/>
              <w:ind w:left="319" w:hanging="319"/>
              <w:rPr>
                <w:rFonts w:cs="Arial"/>
              </w:rPr>
            </w:pPr>
            <w:r w:rsidRPr="00B740CB">
              <w:rPr>
                <w:sz w:val="24"/>
                <w:szCs w:val="24"/>
              </w:rPr>
              <w:sym w:font="Wingdings" w:char="F072"/>
            </w:r>
            <w:r w:rsidRPr="00B740CB">
              <w:rPr>
                <w:sz w:val="24"/>
                <w:szCs w:val="24"/>
              </w:rPr>
              <w:tab/>
            </w:r>
            <w:r w:rsidRPr="00B740CB">
              <w:t>La tarification par zone indiquée ci-dessus correspond à la distance moyenne réelle pondérée parcourue par les petits paquets (E) de la poste aux lettres</w:t>
            </w:r>
            <w:r w:rsidRPr="00B740CB">
              <w:rPr>
                <w:rStyle w:val="Appelnotedebasdep"/>
                <w:rFonts w:cs="Arial"/>
              </w:rPr>
              <w:footnoteReference w:id="5"/>
            </w:r>
          </w:p>
          <w:p w14:paraId="295B8173" w14:textId="77777777" w:rsidR="00767DD4" w:rsidRPr="00B740CB" w:rsidRDefault="00767DD4" w:rsidP="00E93B97">
            <w:pPr>
              <w:spacing w:before="40" w:after="40"/>
              <w:ind w:left="319" w:hanging="319"/>
              <w:rPr>
                <w:rFonts w:cs="Arial"/>
              </w:rPr>
            </w:pPr>
            <w:r w:rsidRPr="00B740CB">
              <w:rPr>
                <w:sz w:val="24"/>
                <w:szCs w:val="24"/>
              </w:rPr>
              <w:sym w:font="Wingdings" w:char="F072"/>
            </w:r>
            <w:r w:rsidRPr="00B740CB">
              <w:tab/>
              <w:t>La tarification par zone correspond au tarif médian du système de tarifs intérieurs par zone</w:t>
            </w:r>
          </w:p>
        </w:tc>
      </w:tr>
      <w:tr w:rsidR="00767DD4" w:rsidRPr="00B740CB" w14:paraId="2B0C476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F8AE87F" w14:textId="77777777" w:rsidR="00767DD4" w:rsidRPr="00B740CB" w:rsidRDefault="00767DD4" w:rsidP="00457E32">
            <w:pPr>
              <w:spacing w:before="40" w:after="40"/>
              <w:rPr>
                <w:rFonts w:cs="Arial"/>
              </w:rPr>
            </w:pPr>
            <w:r w:rsidRPr="00B740CB">
              <w:t>Taux de TVA ou autres taxes incluses dans le tarif</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F062D7E" w14:textId="77777777" w:rsidR="00767DD4" w:rsidRPr="00B740CB" w:rsidRDefault="00767DD4" w:rsidP="00457E32">
            <w:pPr>
              <w:spacing w:before="40" w:after="40"/>
              <w:rPr>
                <w:rFonts w:cs="Arial"/>
              </w:rPr>
            </w:pPr>
          </w:p>
        </w:tc>
      </w:tr>
      <w:tr w:rsidR="00767DD4" w:rsidRPr="00B740CB" w14:paraId="214E1E0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11C851A" w14:textId="77777777" w:rsidR="00767DD4" w:rsidRPr="00B740CB" w:rsidRDefault="00767DD4" w:rsidP="00457E32">
            <w:pPr>
              <w:spacing w:before="40" w:after="40"/>
              <w:rPr>
                <w:rFonts w:cs="Arial"/>
              </w:rPr>
            </w:pPr>
            <w:r w:rsidRPr="00B740CB">
              <w:t>Format/catégorie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E2AF6E3" w14:textId="77777777" w:rsidR="00767DD4" w:rsidRPr="00B740CB" w:rsidRDefault="00767DD4" w:rsidP="00457E32">
            <w:pPr>
              <w:keepNext/>
              <w:keepLines/>
              <w:spacing w:before="40" w:after="40"/>
              <w:rPr>
                <w:rFonts w:cs="Arial"/>
              </w:rPr>
            </w:pPr>
          </w:p>
        </w:tc>
      </w:tr>
      <w:tr w:rsidR="00767DD4" w:rsidRPr="00B740CB" w14:paraId="3D3D0D76"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4CE30241" w14:textId="77777777" w:rsidR="00767DD4" w:rsidRPr="00B740CB" w:rsidRDefault="00767DD4" w:rsidP="008D37F9">
            <w:pPr>
              <w:spacing w:before="40" w:after="40"/>
              <w:rPr>
                <w:rFonts w:cs="Arial"/>
              </w:rPr>
            </w:pPr>
            <w:r w:rsidRPr="00B740CB">
              <w:t xml:space="preserve">Veuillez indiquer si l’un des éléments de service </w:t>
            </w:r>
            <w:r w:rsidRPr="00B740CB">
              <w:br/>
              <w:t>ci-contre est compris dans le service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BDA604A" w14:textId="77777777" w:rsidR="00767DD4" w:rsidRPr="00B740CB" w:rsidRDefault="00767DD4" w:rsidP="00457E32">
            <w:pPr>
              <w:spacing w:before="40" w:after="40"/>
              <w:rPr>
                <w:rFonts w:cs="Arial"/>
              </w:rPr>
            </w:pPr>
            <w:r w:rsidRPr="00B740CB">
              <w:t xml:space="preserve">Recommandation (remise contre signature </w:t>
            </w:r>
            <w:r w:rsidRPr="00B740CB">
              <w:br/>
              <w:t>et responsabilité)</w:t>
            </w:r>
          </w:p>
          <w:p w14:paraId="43ACC735" w14:textId="77777777" w:rsidR="00E93B97" w:rsidRPr="00B740CB" w:rsidRDefault="00E93B97" w:rsidP="00E93B97">
            <w:pPr>
              <w:spacing w:before="40" w:after="40"/>
              <w:ind w:left="319" w:hanging="319"/>
              <w:rPr>
                <w:rFonts w:cs="Arial"/>
              </w:rPr>
            </w:pPr>
            <w:r w:rsidRPr="00B740CB">
              <w:rPr>
                <w:sz w:val="24"/>
                <w:szCs w:val="24"/>
              </w:rPr>
              <w:sym w:font="Wingdings" w:char="F072"/>
            </w:r>
            <w:r w:rsidRPr="00B740CB">
              <w:tab/>
              <w:t>Oui</w:t>
            </w:r>
          </w:p>
          <w:p w14:paraId="56630B4D" w14:textId="77777777" w:rsidR="00E93B97" w:rsidRPr="00B740CB" w:rsidRDefault="00E93B97" w:rsidP="00E93B97">
            <w:pPr>
              <w:spacing w:before="40" w:after="40"/>
              <w:ind w:left="319" w:hanging="319"/>
              <w:rPr>
                <w:rFonts w:cs="Arial"/>
              </w:rPr>
            </w:pPr>
            <w:r w:rsidRPr="00B740CB">
              <w:rPr>
                <w:sz w:val="24"/>
                <w:szCs w:val="24"/>
              </w:rPr>
              <w:sym w:font="Wingdings" w:char="F072"/>
            </w:r>
            <w:r w:rsidRPr="00B740CB">
              <w:tab/>
              <w:t>Non</w:t>
            </w:r>
          </w:p>
          <w:p w14:paraId="30B57B04" w14:textId="447D4167" w:rsidR="00767DD4" w:rsidRPr="00B740CB" w:rsidRDefault="00767DD4" w:rsidP="003B74B8">
            <w:pPr>
              <w:tabs>
                <w:tab w:val="left" w:pos="4294"/>
              </w:tabs>
              <w:spacing w:before="40" w:after="40"/>
              <w:rPr>
                <w:rFonts w:cs="Arial"/>
                <w:u w:val="single"/>
              </w:rPr>
            </w:pPr>
            <w:r w:rsidRPr="00B740CB">
              <w:t>Tarif intérieur supplémentaire, si disponible:</w:t>
            </w:r>
            <w:r w:rsidR="003B74B8" w:rsidRPr="00B740CB">
              <w:rPr>
                <w:vertAlign w:val="superscript"/>
              </w:rPr>
              <w:t>4</w:t>
            </w:r>
            <w:r w:rsidRPr="00B740CB">
              <w:br/>
            </w:r>
            <w:r w:rsidRPr="00B740CB">
              <w:rPr>
                <w:u w:val="single"/>
              </w:rPr>
              <w:tab/>
            </w:r>
          </w:p>
        </w:tc>
      </w:tr>
      <w:tr w:rsidR="00E93B97" w:rsidRPr="00B740CB" w14:paraId="3F198694"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6A3A4CDE" w14:textId="77777777" w:rsidR="00E93B97" w:rsidRPr="00B740CB" w:rsidRDefault="00E93B97"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59A3DB28" w14:textId="77777777" w:rsidR="00E93B97" w:rsidRPr="00B740CB" w:rsidRDefault="00E93B97" w:rsidP="00457E32">
            <w:pPr>
              <w:spacing w:before="40" w:after="40"/>
              <w:rPr>
                <w:rFonts w:cs="Arial"/>
              </w:rPr>
            </w:pPr>
            <w:r w:rsidRPr="00B740CB">
              <w:t>Assurance</w:t>
            </w:r>
          </w:p>
          <w:p w14:paraId="7E1B66B1" w14:textId="77777777" w:rsidR="00E93B97" w:rsidRPr="00B740CB" w:rsidRDefault="00E93B97" w:rsidP="00E93B97">
            <w:pPr>
              <w:spacing w:before="40" w:after="40"/>
              <w:ind w:left="319" w:hanging="319"/>
              <w:rPr>
                <w:rFonts w:cs="Arial"/>
              </w:rPr>
            </w:pPr>
            <w:r w:rsidRPr="00B740CB">
              <w:rPr>
                <w:sz w:val="24"/>
                <w:szCs w:val="24"/>
              </w:rPr>
              <w:sym w:font="Wingdings" w:char="F072"/>
            </w:r>
            <w:r w:rsidRPr="00B740CB">
              <w:tab/>
              <w:t>Oui</w:t>
            </w:r>
          </w:p>
          <w:p w14:paraId="7C3F9A58" w14:textId="77777777" w:rsidR="00E93B97" w:rsidRPr="00B740CB" w:rsidRDefault="00E93B97" w:rsidP="00E93B97">
            <w:pPr>
              <w:spacing w:before="40" w:after="40"/>
              <w:ind w:left="319" w:hanging="319"/>
              <w:rPr>
                <w:rFonts w:cs="Arial"/>
              </w:rPr>
            </w:pPr>
            <w:r w:rsidRPr="00B740CB">
              <w:rPr>
                <w:sz w:val="24"/>
                <w:szCs w:val="24"/>
              </w:rPr>
              <w:sym w:font="Wingdings" w:char="F072"/>
            </w:r>
            <w:r w:rsidRPr="00B740CB">
              <w:tab/>
              <w:t>Non</w:t>
            </w:r>
          </w:p>
          <w:p w14:paraId="2F112086" w14:textId="650F8914" w:rsidR="00E93B97" w:rsidRPr="00B740CB" w:rsidRDefault="00E93B97" w:rsidP="003B74B8">
            <w:pPr>
              <w:tabs>
                <w:tab w:val="left" w:pos="4353"/>
              </w:tabs>
              <w:spacing w:before="40" w:after="40"/>
              <w:rPr>
                <w:rFonts w:cs="Arial"/>
                <w:i/>
                <w:iCs/>
                <w:u w:val="single"/>
              </w:rPr>
            </w:pPr>
            <w:r w:rsidRPr="00B740CB">
              <w:t>Tarif intérieur supplémentaire, si disponible:</w:t>
            </w:r>
            <w:r w:rsidR="003B74B8" w:rsidRPr="00B740CB">
              <w:rPr>
                <w:vertAlign w:val="superscript"/>
              </w:rPr>
              <w:t>4</w:t>
            </w:r>
            <w:r w:rsidRPr="00B740CB">
              <w:br/>
            </w:r>
            <w:r w:rsidRPr="00B740CB">
              <w:rPr>
                <w:i/>
                <w:iCs/>
                <w:u w:val="single"/>
              </w:rPr>
              <w:tab/>
            </w:r>
          </w:p>
        </w:tc>
      </w:tr>
      <w:tr w:rsidR="00E93B97" w:rsidRPr="00B740CB" w14:paraId="65064F77"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514CA3B2" w14:textId="77777777" w:rsidR="00E93B97" w:rsidRPr="00B740CB" w:rsidRDefault="00E93B97"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430CBE5" w14:textId="77777777" w:rsidR="00E93B97" w:rsidRPr="00B740CB" w:rsidRDefault="00E93B97" w:rsidP="00E93B97">
            <w:pPr>
              <w:spacing w:before="40" w:after="40"/>
              <w:rPr>
                <w:rFonts w:cs="Arial"/>
              </w:rPr>
            </w:pPr>
            <w:r w:rsidRPr="00B740CB">
              <w:t>Suivi</w:t>
            </w:r>
          </w:p>
          <w:p w14:paraId="5F0AB6B4" w14:textId="77777777" w:rsidR="00E93B97" w:rsidRPr="00B740CB" w:rsidRDefault="00E93B97" w:rsidP="00E93B97">
            <w:pPr>
              <w:spacing w:before="40" w:after="40"/>
              <w:ind w:left="319" w:hanging="319"/>
              <w:rPr>
                <w:rFonts w:cs="Arial"/>
              </w:rPr>
            </w:pPr>
            <w:r w:rsidRPr="00B740CB">
              <w:rPr>
                <w:sz w:val="24"/>
                <w:szCs w:val="24"/>
              </w:rPr>
              <w:sym w:font="Wingdings" w:char="F072"/>
            </w:r>
            <w:r w:rsidRPr="00B740CB">
              <w:tab/>
              <w:t>Oui</w:t>
            </w:r>
          </w:p>
          <w:p w14:paraId="390FFF2B" w14:textId="77777777" w:rsidR="00E93B97" w:rsidRPr="00B740CB" w:rsidRDefault="00E93B97" w:rsidP="00E93B97">
            <w:pPr>
              <w:spacing w:before="40" w:after="40"/>
              <w:ind w:left="319" w:hanging="319"/>
              <w:rPr>
                <w:rFonts w:cs="Arial"/>
              </w:rPr>
            </w:pPr>
            <w:r w:rsidRPr="00B740CB">
              <w:rPr>
                <w:sz w:val="24"/>
                <w:szCs w:val="24"/>
              </w:rPr>
              <w:sym w:font="Wingdings" w:char="F072"/>
            </w:r>
            <w:r w:rsidRPr="00B740CB">
              <w:tab/>
              <w:t>Non</w:t>
            </w:r>
          </w:p>
          <w:p w14:paraId="35BCDE0D" w14:textId="77777777" w:rsidR="00E93B97" w:rsidRPr="00B740CB" w:rsidRDefault="00E93B97" w:rsidP="009A2BBC">
            <w:pPr>
              <w:tabs>
                <w:tab w:val="left" w:pos="4322"/>
              </w:tabs>
              <w:spacing w:before="40" w:after="40"/>
              <w:rPr>
                <w:rFonts w:cs="Arial"/>
              </w:rPr>
            </w:pPr>
            <w:r w:rsidRPr="00B740CB">
              <w:t>Tarif intérieur supplémentaire, si disponible:</w:t>
            </w:r>
            <w:r w:rsidR="009A2BBC" w:rsidRPr="00B740CB">
              <w:rPr>
                <w:rStyle w:val="Appelnotedebasdep"/>
              </w:rPr>
              <w:footnoteReference w:id="6"/>
            </w:r>
            <w:r w:rsidRPr="00B740CB">
              <w:br/>
            </w:r>
            <w:r w:rsidRPr="00B740CB">
              <w:rPr>
                <w:i/>
                <w:iCs/>
                <w:u w:val="single"/>
              </w:rPr>
              <w:tab/>
            </w:r>
          </w:p>
        </w:tc>
      </w:tr>
      <w:tr w:rsidR="00E93B97" w:rsidRPr="00B740CB" w14:paraId="771C23BC"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E237780" w14:textId="77777777" w:rsidR="00E93B97" w:rsidRPr="00B740CB" w:rsidRDefault="00E93B97" w:rsidP="00457E32">
            <w:pPr>
              <w:spacing w:before="40" w:after="40"/>
              <w:rPr>
                <w:rFonts w:cs="Arial"/>
              </w:rPr>
            </w:pPr>
            <w:r w:rsidRPr="00B740CB">
              <w:t>Nom du produit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1AC3939" w14:textId="77777777" w:rsidR="00E93B97" w:rsidRPr="00B740CB" w:rsidRDefault="00E93B97" w:rsidP="00457E32">
            <w:pPr>
              <w:spacing w:before="40" w:after="40"/>
              <w:rPr>
                <w:rFonts w:cs="Arial"/>
              </w:rPr>
            </w:pPr>
          </w:p>
        </w:tc>
      </w:tr>
      <w:tr w:rsidR="00E93B97" w:rsidRPr="00B740CB" w14:paraId="06AC29D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B11A26C" w14:textId="77777777" w:rsidR="00E93B97" w:rsidRPr="00B740CB" w:rsidRDefault="00E93B97" w:rsidP="00457E32">
            <w:pPr>
              <w:spacing w:before="40" w:after="40"/>
              <w:rPr>
                <w:rFonts w:cs="Arial"/>
              </w:rPr>
            </w:pPr>
            <w:r w:rsidRPr="00B740CB">
              <w:t>Dimensions maximales: largeur–longueur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E90DE48" w14:textId="77777777" w:rsidR="00E93B97" w:rsidRPr="00B740CB" w:rsidRDefault="00E93B97" w:rsidP="00457E32">
            <w:pPr>
              <w:spacing w:before="40" w:after="40"/>
              <w:rPr>
                <w:rFonts w:cs="Arial"/>
              </w:rPr>
            </w:pPr>
          </w:p>
        </w:tc>
      </w:tr>
      <w:tr w:rsidR="00E93B97" w:rsidRPr="00B740CB" w14:paraId="7BA47E97"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5CE64CB" w14:textId="77777777" w:rsidR="00E93B97" w:rsidRPr="00B740CB" w:rsidRDefault="00E93B97" w:rsidP="00457E32">
            <w:pPr>
              <w:spacing w:before="40" w:after="40"/>
              <w:rPr>
                <w:rFonts w:cs="Arial"/>
              </w:rPr>
            </w:pPr>
            <w:r w:rsidRPr="00B740CB">
              <w:t>Épaisseur maximale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9FD75FF" w14:textId="77777777" w:rsidR="00E93B97" w:rsidRPr="00B740CB" w:rsidRDefault="00E93B97" w:rsidP="00457E32">
            <w:pPr>
              <w:spacing w:before="40" w:after="40"/>
              <w:rPr>
                <w:rFonts w:cs="Arial"/>
              </w:rPr>
            </w:pPr>
          </w:p>
        </w:tc>
      </w:tr>
      <w:tr w:rsidR="00E93B97" w:rsidRPr="00B740CB" w14:paraId="299B354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AB2DBF6" w14:textId="77777777" w:rsidR="00E93B97" w:rsidRPr="00B740CB" w:rsidRDefault="00E93B97" w:rsidP="00457E32">
            <w:pPr>
              <w:spacing w:before="40" w:after="40"/>
              <w:rPr>
                <w:rFonts w:cs="Arial"/>
              </w:rPr>
            </w:pPr>
            <w:r w:rsidRPr="00B740CB">
              <w:t>Adresse du site Web sur lequel ces informations peuvent être consultées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AAD68D3" w14:textId="77777777" w:rsidR="00E93B97" w:rsidRPr="00B740CB" w:rsidRDefault="00E93B97" w:rsidP="00457E32">
            <w:pPr>
              <w:spacing w:before="40" w:after="40"/>
              <w:rPr>
                <w:rFonts w:cs="Arial"/>
              </w:rPr>
            </w:pPr>
          </w:p>
        </w:tc>
      </w:tr>
    </w:tbl>
    <w:p w14:paraId="4256C6D8" w14:textId="77777777" w:rsidR="00767DD4" w:rsidRPr="00B740CB" w:rsidRDefault="00767DD4" w:rsidP="00767DD4">
      <w:pPr>
        <w:jc w:val="both"/>
      </w:pPr>
    </w:p>
    <w:p w14:paraId="16172A35" w14:textId="488303C7" w:rsidR="00767DD4" w:rsidRPr="00B740CB" w:rsidRDefault="00767DD4" w:rsidP="005B448A">
      <w:pPr>
        <w:pStyle w:val="0Textedebase"/>
        <w:rPr>
          <w:i/>
          <w:iCs/>
        </w:rPr>
      </w:pPr>
      <w:r w:rsidRPr="00B740CB">
        <w:rPr>
          <w:i/>
          <w:iCs/>
        </w:rPr>
        <w:t>Tableau 4 – Tarif intérieur pour un petit paquet (E) de la poste aux lettres prioritaire de 75 grammes dans le cadre du service intérieur, entrant en vigueur au 1</w:t>
      </w:r>
      <w:r w:rsidRPr="00B740CB">
        <w:rPr>
          <w:i/>
          <w:iCs/>
          <w:vertAlign w:val="superscript"/>
        </w:rPr>
        <w:t>er</w:t>
      </w:r>
      <w:r w:rsidRPr="00B740CB">
        <w:rPr>
          <w:i/>
          <w:iCs/>
        </w:rPr>
        <w:t xml:space="preserve"> </w:t>
      </w:r>
      <w:r w:rsidR="00045999" w:rsidRPr="00B740CB">
        <w:rPr>
          <w:i/>
          <w:iCs/>
        </w:rPr>
        <w:t>mai</w:t>
      </w:r>
      <w:r w:rsidRPr="00B740CB">
        <w:rPr>
          <w:i/>
          <w:iCs/>
        </w:rPr>
        <w:t xml:space="preserve"> </w:t>
      </w:r>
      <w:r w:rsidR="003D7E0B" w:rsidRPr="00B740CB">
        <w:rPr>
          <w:i/>
          <w:iCs/>
        </w:rPr>
        <w:t>2026</w:t>
      </w:r>
    </w:p>
    <w:p w14:paraId="11BAEFA6" w14:textId="77777777" w:rsidR="00767DD4" w:rsidRPr="00B740CB" w:rsidRDefault="00767DD4" w:rsidP="00767DD4">
      <w:pPr>
        <w:pStyle w:val="0Textedebase"/>
        <w:rPr>
          <w:i/>
          <w:iC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2BB01D62" w14:textId="77777777" w:rsidTr="002E7924">
        <w:trPr>
          <w:cantSplit/>
        </w:trPr>
        <w:tc>
          <w:tcPr>
            <w:tcW w:w="2646" w:type="pct"/>
            <w:shd w:val="clear" w:color="auto" w:fill="auto"/>
          </w:tcPr>
          <w:p w14:paraId="4B887637" w14:textId="77777777" w:rsidR="00767DD4" w:rsidRPr="00B740CB" w:rsidRDefault="00767DD4" w:rsidP="00457E32">
            <w:pPr>
              <w:spacing w:before="40" w:after="40"/>
              <w:rPr>
                <w:rFonts w:cs="Arial"/>
              </w:rPr>
            </w:pPr>
            <w:r w:rsidRPr="00B740CB">
              <w:t xml:space="preserve">Taux si une tarification par zone ne s’applique pas </w:t>
            </w:r>
            <w:r w:rsidRPr="00B740CB">
              <w:br/>
              <w:t>(en monnaie locale)</w:t>
            </w:r>
          </w:p>
        </w:tc>
        <w:tc>
          <w:tcPr>
            <w:tcW w:w="2354" w:type="pct"/>
            <w:shd w:val="clear" w:color="auto" w:fill="auto"/>
          </w:tcPr>
          <w:p w14:paraId="4D2BFDB0" w14:textId="77777777" w:rsidR="00767DD4" w:rsidRPr="00B740CB" w:rsidRDefault="00767DD4" w:rsidP="00457E32">
            <w:pPr>
              <w:spacing w:before="40" w:after="40"/>
              <w:rPr>
                <w:rFonts w:cs="Arial"/>
              </w:rPr>
            </w:pPr>
          </w:p>
        </w:tc>
      </w:tr>
      <w:tr w:rsidR="00767DD4" w:rsidRPr="00B740CB" w14:paraId="5C57D2E3" w14:textId="77777777" w:rsidTr="002E7924">
        <w:trPr>
          <w:cantSplit/>
        </w:trPr>
        <w:tc>
          <w:tcPr>
            <w:tcW w:w="2646" w:type="pct"/>
            <w:shd w:val="clear" w:color="auto" w:fill="auto"/>
          </w:tcPr>
          <w:p w14:paraId="1E640747" w14:textId="22ABC351" w:rsidR="00767DD4" w:rsidRPr="00B740CB" w:rsidRDefault="00767DD4" w:rsidP="00457E32">
            <w:pPr>
              <w:spacing w:before="40" w:after="40"/>
              <w:rPr>
                <w:rFonts w:cs="Arial"/>
              </w:rPr>
            </w:pPr>
            <w:r w:rsidRPr="00B740CB">
              <w:t>Taux si une tarification par zone s’applique</w:t>
            </w:r>
            <w:r w:rsidR="003D7E0B" w:rsidRPr="00B740CB">
              <w:t xml:space="preserve"> (en monnaie locale)</w:t>
            </w:r>
          </w:p>
        </w:tc>
        <w:tc>
          <w:tcPr>
            <w:tcW w:w="2354" w:type="pct"/>
            <w:shd w:val="clear" w:color="auto" w:fill="auto"/>
          </w:tcPr>
          <w:p w14:paraId="7E77FDFD" w14:textId="77777777" w:rsidR="00767DD4" w:rsidRPr="00B740CB" w:rsidRDefault="00767DD4" w:rsidP="00457E32">
            <w:pPr>
              <w:spacing w:before="40" w:after="40"/>
              <w:rPr>
                <w:rFonts w:cs="Arial"/>
              </w:rPr>
            </w:pPr>
          </w:p>
        </w:tc>
      </w:tr>
      <w:tr w:rsidR="00767DD4" w:rsidRPr="00B740CB" w14:paraId="5B39CA0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0423199" w14:textId="77777777" w:rsidR="00767DD4" w:rsidRPr="00B740CB" w:rsidRDefault="00767DD4" w:rsidP="00457E32">
            <w:pPr>
              <w:spacing w:before="40" w:after="40"/>
              <w:rPr>
                <w:rFonts w:cs="Arial"/>
              </w:rPr>
            </w:pPr>
            <w:r w:rsidRPr="00B740CB">
              <w:lastRenderedPageBreak/>
              <w:t>Si une tarification par zone s’applique, veuillez indiquer la méthode utilisée pour déterminer cette tarification:</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67579F8" w14:textId="3D4909CB" w:rsidR="00767DD4" w:rsidRPr="00B740CB" w:rsidRDefault="00767DD4" w:rsidP="00B21635">
            <w:pPr>
              <w:spacing w:before="40" w:after="40"/>
              <w:ind w:left="319" w:hanging="319"/>
              <w:rPr>
                <w:rFonts w:cs="Arial"/>
              </w:rPr>
            </w:pPr>
            <w:r w:rsidRPr="00B740CB">
              <w:rPr>
                <w:sz w:val="24"/>
                <w:szCs w:val="24"/>
              </w:rPr>
              <w:sym w:font="Wingdings" w:char="F072"/>
            </w:r>
            <w:r w:rsidRPr="00B740CB">
              <w:rPr>
                <w:sz w:val="24"/>
                <w:szCs w:val="24"/>
              </w:rPr>
              <w:tab/>
            </w:r>
            <w:r w:rsidRPr="00B740CB">
              <w:t>La tarification par zone indiquée ci-dessus correspond à la distance moyenne réelle pondérée parcourue par les petits paquets (E) de la poste aux lettres</w:t>
            </w:r>
            <w:r w:rsidRPr="00B740CB">
              <w:rPr>
                <w:rStyle w:val="Appelnotedebasdep"/>
                <w:rFonts w:cs="Arial"/>
              </w:rPr>
              <w:footnoteReference w:id="7"/>
            </w:r>
          </w:p>
          <w:p w14:paraId="7035CE57" w14:textId="77777777" w:rsidR="00767DD4" w:rsidRPr="00B740CB" w:rsidRDefault="00767DD4" w:rsidP="00B21635">
            <w:pPr>
              <w:spacing w:before="40" w:after="40"/>
              <w:ind w:left="319" w:hanging="319"/>
              <w:rPr>
                <w:rFonts w:cs="Arial"/>
              </w:rPr>
            </w:pPr>
            <w:r w:rsidRPr="00B740CB">
              <w:rPr>
                <w:sz w:val="24"/>
                <w:szCs w:val="24"/>
              </w:rPr>
              <w:sym w:font="Wingdings" w:char="F072"/>
            </w:r>
            <w:r w:rsidRPr="00B740CB">
              <w:tab/>
              <w:t>La tarification par zone correspond au tarif médian du système de tarifs intérieurs par zone</w:t>
            </w:r>
          </w:p>
        </w:tc>
      </w:tr>
      <w:tr w:rsidR="00767DD4" w:rsidRPr="00B740CB" w14:paraId="410627A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3075F81" w14:textId="77777777" w:rsidR="00767DD4" w:rsidRPr="00B740CB" w:rsidRDefault="00767DD4" w:rsidP="00457E32">
            <w:pPr>
              <w:spacing w:before="40" w:after="40"/>
              <w:rPr>
                <w:rFonts w:cs="Arial"/>
              </w:rPr>
            </w:pPr>
            <w:r w:rsidRPr="00B740CB">
              <w:t>Taux de TVA ou autres taxes incluses dans le tarif</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CE7BB37" w14:textId="77777777" w:rsidR="00767DD4" w:rsidRPr="00B740CB" w:rsidRDefault="00767DD4" w:rsidP="00457E32">
            <w:pPr>
              <w:spacing w:before="40" w:after="40"/>
              <w:rPr>
                <w:rFonts w:cs="Arial"/>
              </w:rPr>
            </w:pPr>
          </w:p>
        </w:tc>
      </w:tr>
      <w:tr w:rsidR="00767DD4" w:rsidRPr="00B740CB" w14:paraId="6C46A68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42B7F51" w14:textId="77777777" w:rsidR="00767DD4" w:rsidRPr="00B740CB" w:rsidRDefault="00767DD4" w:rsidP="00457E32">
            <w:pPr>
              <w:spacing w:before="40" w:after="40"/>
              <w:rPr>
                <w:rFonts w:cs="Arial"/>
              </w:rPr>
            </w:pPr>
            <w:r w:rsidRPr="00B740CB">
              <w:t>Format/catégorie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3C01DDE" w14:textId="77777777" w:rsidR="00767DD4" w:rsidRPr="00B740CB" w:rsidRDefault="00767DD4" w:rsidP="00457E32">
            <w:pPr>
              <w:keepNext/>
              <w:keepLines/>
              <w:spacing w:before="40" w:after="40"/>
              <w:rPr>
                <w:rFonts w:cs="Arial"/>
              </w:rPr>
            </w:pPr>
          </w:p>
        </w:tc>
      </w:tr>
      <w:tr w:rsidR="00767DD4" w:rsidRPr="00B740CB" w14:paraId="109F5918"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6D6ED9C3" w14:textId="77777777" w:rsidR="00767DD4" w:rsidRPr="00B740CB" w:rsidRDefault="00767DD4" w:rsidP="002E7924">
            <w:pPr>
              <w:spacing w:before="40" w:after="40"/>
              <w:rPr>
                <w:rFonts w:cs="Arial"/>
              </w:rPr>
            </w:pPr>
            <w:r w:rsidRPr="00B740CB">
              <w:t xml:space="preserve">Veuillez indiquer si l’un des éléments de service </w:t>
            </w:r>
            <w:r w:rsidRPr="00B740CB">
              <w:br/>
              <w:t>ci-contre est compris dans le service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0A4F684" w14:textId="77777777" w:rsidR="00767DD4" w:rsidRPr="00B740CB" w:rsidRDefault="00767DD4" w:rsidP="002E7924">
            <w:pPr>
              <w:spacing w:before="40" w:after="40"/>
              <w:rPr>
                <w:rFonts w:cs="Arial"/>
              </w:rPr>
            </w:pPr>
            <w:r w:rsidRPr="00B740CB">
              <w:t xml:space="preserve">Recommandation (remise contre signature </w:t>
            </w:r>
            <w:r w:rsidRPr="00B740CB">
              <w:br/>
              <w:t>et responsabilité)</w:t>
            </w:r>
          </w:p>
          <w:p w14:paraId="6391F659" w14:textId="77777777" w:rsidR="00B21635" w:rsidRPr="00B740CB" w:rsidRDefault="00B21635" w:rsidP="002E7924">
            <w:pPr>
              <w:spacing w:before="40" w:after="40"/>
              <w:ind w:left="319" w:hanging="319"/>
              <w:rPr>
                <w:rFonts w:cs="Arial"/>
              </w:rPr>
            </w:pPr>
            <w:r w:rsidRPr="00B740CB">
              <w:rPr>
                <w:sz w:val="24"/>
                <w:szCs w:val="24"/>
              </w:rPr>
              <w:sym w:font="Wingdings" w:char="F072"/>
            </w:r>
            <w:r w:rsidRPr="00B740CB">
              <w:tab/>
              <w:t>Oui</w:t>
            </w:r>
          </w:p>
          <w:p w14:paraId="71A4B0B6" w14:textId="77777777" w:rsidR="00B21635" w:rsidRPr="00B740CB" w:rsidRDefault="00B21635" w:rsidP="002E7924">
            <w:pPr>
              <w:spacing w:before="40" w:after="40"/>
              <w:ind w:left="319" w:hanging="319"/>
              <w:rPr>
                <w:rFonts w:cs="Arial"/>
              </w:rPr>
            </w:pPr>
            <w:r w:rsidRPr="00B740CB">
              <w:rPr>
                <w:sz w:val="24"/>
                <w:szCs w:val="24"/>
              </w:rPr>
              <w:sym w:font="Wingdings" w:char="F072"/>
            </w:r>
            <w:r w:rsidRPr="00B740CB">
              <w:tab/>
              <w:t>Non</w:t>
            </w:r>
          </w:p>
          <w:p w14:paraId="561C2409" w14:textId="5540225F" w:rsidR="00767DD4" w:rsidRPr="00B740CB" w:rsidRDefault="00767DD4" w:rsidP="002E7924">
            <w:pPr>
              <w:tabs>
                <w:tab w:val="left" w:pos="4294"/>
              </w:tabs>
              <w:spacing w:before="40" w:after="40"/>
              <w:rPr>
                <w:rFonts w:cs="Arial"/>
                <w:u w:val="single"/>
              </w:rPr>
            </w:pPr>
            <w:r w:rsidRPr="00B740CB">
              <w:t>Tarif intérieur supplémentaire, si disponible</w:t>
            </w:r>
            <w:r w:rsidR="003B74B8" w:rsidRPr="00B740CB">
              <w:rPr>
                <w:rFonts w:cs="Arial"/>
                <w:vertAlign w:val="superscript"/>
              </w:rPr>
              <w:t>6</w:t>
            </w:r>
            <w:r w:rsidRPr="00B740CB">
              <w:br/>
            </w:r>
            <w:r w:rsidRPr="00B740CB">
              <w:rPr>
                <w:u w:val="single"/>
              </w:rPr>
              <w:tab/>
            </w:r>
          </w:p>
        </w:tc>
      </w:tr>
      <w:tr w:rsidR="00B21635" w:rsidRPr="00B740CB" w14:paraId="5A27DF0C"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4C29AFCE"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764A539D" w14:textId="77777777" w:rsidR="00B21635" w:rsidRPr="00B740CB" w:rsidRDefault="00B21635" w:rsidP="00457E32">
            <w:pPr>
              <w:spacing w:before="40" w:after="40"/>
              <w:rPr>
                <w:rFonts w:cs="Arial"/>
              </w:rPr>
            </w:pPr>
            <w:r w:rsidRPr="00B740CB">
              <w:t>Assurance</w:t>
            </w:r>
          </w:p>
          <w:p w14:paraId="1C76AFD0"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1043891F"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09F0137A" w14:textId="22789E0A" w:rsidR="00B21635" w:rsidRPr="00B740CB" w:rsidRDefault="00B21635" w:rsidP="003B74B8">
            <w:pPr>
              <w:tabs>
                <w:tab w:val="left" w:pos="4353"/>
              </w:tabs>
              <w:spacing w:before="40" w:after="40"/>
              <w:rPr>
                <w:rFonts w:cs="Arial"/>
                <w:i/>
                <w:iCs/>
                <w:u w:val="single"/>
              </w:rPr>
            </w:pPr>
            <w:r w:rsidRPr="00B740CB">
              <w:t>Tarif intérieur supplémentaire, si disponible:</w:t>
            </w:r>
            <w:r w:rsidR="003B74B8" w:rsidRPr="00B740CB">
              <w:rPr>
                <w:vertAlign w:val="superscript"/>
              </w:rPr>
              <w:t>6</w:t>
            </w:r>
            <w:r w:rsidRPr="00B740CB">
              <w:br/>
            </w:r>
            <w:r w:rsidRPr="00B740CB">
              <w:rPr>
                <w:i/>
                <w:iCs/>
                <w:u w:val="single"/>
              </w:rPr>
              <w:tab/>
            </w:r>
          </w:p>
        </w:tc>
      </w:tr>
      <w:tr w:rsidR="00B21635" w:rsidRPr="00B740CB" w14:paraId="7722F60F"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46A4C43F"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A098C83" w14:textId="77777777" w:rsidR="00B21635" w:rsidRPr="00B740CB" w:rsidRDefault="00B21635" w:rsidP="00B21635">
            <w:pPr>
              <w:spacing w:before="40" w:after="40"/>
              <w:rPr>
                <w:rFonts w:cs="Arial"/>
              </w:rPr>
            </w:pPr>
            <w:r w:rsidRPr="00B740CB">
              <w:t>Suivi</w:t>
            </w:r>
          </w:p>
          <w:p w14:paraId="1B605F73"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5B3A7ACB"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6D85AA8A" w14:textId="77777777" w:rsidR="00B21635" w:rsidRPr="00B740CB" w:rsidRDefault="00B21635" w:rsidP="009A2BBC">
            <w:pPr>
              <w:tabs>
                <w:tab w:val="left" w:pos="4322"/>
              </w:tabs>
              <w:spacing w:before="40" w:after="40"/>
              <w:rPr>
                <w:rFonts w:cs="Arial"/>
              </w:rPr>
            </w:pPr>
            <w:r w:rsidRPr="00B740CB">
              <w:t>Tarif intérieur supplémentaire, si disponible:</w:t>
            </w:r>
            <w:r w:rsidR="009A2BBC" w:rsidRPr="00B740CB">
              <w:rPr>
                <w:rStyle w:val="Appelnotedebasdep"/>
              </w:rPr>
              <w:footnoteReference w:id="8"/>
            </w:r>
            <w:r w:rsidRPr="00B740CB">
              <w:br/>
            </w:r>
            <w:r w:rsidRPr="00B740CB">
              <w:rPr>
                <w:i/>
                <w:iCs/>
                <w:u w:val="single"/>
              </w:rPr>
              <w:tab/>
            </w:r>
          </w:p>
        </w:tc>
      </w:tr>
      <w:tr w:rsidR="00767DD4" w:rsidRPr="00B740CB" w14:paraId="0BB1A22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34684B4" w14:textId="77777777" w:rsidR="00767DD4" w:rsidRPr="00B740CB" w:rsidRDefault="00767DD4" w:rsidP="00457E32">
            <w:pPr>
              <w:spacing w:before="40" w:after="40"/>
              <w:rPr>
                <w:rFonts w:cs="Arial"/>
              </w:rPr>
            </w:pPr>
            <w:r w:rsidRPr="00B740CB">
              <w:t>Nom du produit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35DAC8F" w14:textId="77777777" w:rsidR="00767DD4" w:rsidRPr="00B740CB" w:rsidRDefault="00767DD4" w:rsidP="00457E32">
            <w:pPr>
              <w:spacing w:before="40" w:after="40"/>
              <w:rPr>
                <w:rFonts w:cs="Arial"/>
              </w:rPr>
            </w:pPr>
          </w:p>
        </w:tc>
      </w:tr>
      <w:tr w:rsidR="00767DD4" w:rsidRPr="00B740CB" w14:paraId="0041338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8A6481F" w14:textId="6022BADE" w:rsidR="00767DD4" w:rsidRPr="00B740CB" w:rsidRDefault="00767DD4" w:rsidP="00457E32">
            <w:pPr>
              <w:spacing w:before="40" w:after="40"/>
              <w:rPr>
                <w:rFonts w:cs="Arial"/>
              </w:rPr>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E29AF91" w14:textId="77777777" w:rsidR="00767DD4" w:rsidRPr="00B740CB" w:rsidRDefault="00767DD4" w:rsidP="00457E32">
            <w:pPr>
              <w:spacing w:before="40" w:after="40"/>
              <w:rPr>
                <w:rFonts w:cs="Arial"/>
              </w:rPr>
            </w:pPr>
          </w:p>
        </w:tc>
      </w:tr>
      <w:tr w:rsidR="00767DD4" w:rsidRPr="00B740CB" w14:paraId="0FD0500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061AFEE" w14:textId="77777777" w:rsidR="00767DD4" w:rsidRPr="00B740CB" w:rsidRDefault="00767DD4" w:rsidP="00457E32">
            <w:pPr>
              <w:spacing w:before="40" w:after="40"/>
              <w:rPr>
                <w:rFonts w:cs="Arial"/>
              </w:rPr>
            </w:pPr>
            <w:r w:rsidRPr="00B740CB">
              <w:t>Dimensions maximales: largeur–longueur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EA73606" w14:textId="77777777" w:rsidR="00767DD4" w:rsidRPr="00B740CB" w:rsidRDefault="00767DD4" w:rsidP="00457E32">
            <w:pPr>
              <w:spacing w:before="40" w:after="40"/>
              <w:rPr>
                <w:rFonts w:cs="Arial"/>
              </w:rPr>
            </w:pPr>
          </w:p>
        </w:tc>
      </w:tr>
      <w:tr w:rsidR="00767DD4" w:rsidRPr="00B740CB" w14:paraId="401363C8"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59A2FAC" w14:textId="77777777" w:rsidR="00767DD4" w:rsidRPr="00B740CB" w:rsidRDefault="00767DD4" w:rsidP="00457E32">
            <w:pPr>
              <w:spacing w:before="40" w:after="40"/>
              <w:rPr>
                <w:rFonts w:cs="Arial"/>
              </w:rPr>
            </w:pPr>
            <w:r w:rsidRPr="00B740CB">
              <w:t>Épaisseur maximale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723B63F" w14:textId="77777777" w:rsidR="00767DD4" w:rsidRPr="00B740CB" w:rsidRDefault="00767DD4" w:rsidP="00457E32">
            <w:pPr>
              <w:spacing w:before="40" w:after="40"/>
              <w:rPr>
                <w:rFonts w:cs="Arial"/>
              </w:rPr>
            </w:pPr>
          </w:p>
        </w:tc>
      </w:tr>
      <w:tr w:rsidR="00767DD4" w:rsidRPr="00B740CB" w14:paraId="7000E9D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2E7C1C7" w14:textId="2F67C385" w:rsidR="00767DD4" w:rsidRPr="00B740CB" w:rsidRDefault="00767DD4" w:rsidP="00457E32">
            <w:pPr>
              <w:spacing w:before="40" w:after="40"/>
              <w:rPr>
                <w:rFonts w:cs="Arial"/>
              </w:rPr>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001CC21" w14:textId="77777777" w:rsidR="00767DD4" w:rsidRPr="00B740CB" w:rsidRDefault="00767DD4" w:rsidP="00457E32">
            <w:pPr>
              <w:spacing w:before="40" w:after="40"/>
              <w:rPr>
                <w:rFonts w:cs="Arial"/>
              </w:rPr>
            </w:pPr>
          </w:p>
        </w:tc>
      </w:tr>
      <w:tr w:rsidR="00767DD4" w:rsidRPr="00B740CB" w14:paraId="181AB82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E181E31" w14:textId="77777777" w:rsidR="00767DD4" w:rsidRPr="00B740CB" w:rsidRDefault="00767DD4" w:rsidP="00457E32">
            <w:pPr>
              <w:spacing w:before="40" w:after="40"/>
              <w:rPr>
                <w:rFonts w:cs="Arial"/>
              </w:rPr>
            </w:pPr>
            <w:r w:rsidRPr="00B740CB">
              <w:t>Adresse du site Web sur lequel ces informations peuvent être consultées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E4B4174" w14:textId="77777777" w:rsidR="00767DD4" w:rsidRPr="00B740CB" w:rsidRDefault="00767DD4" w:rsidP="00457E32">
            <w:pPr>
              <w:spacing w:before="40" w:after="40"/>
              <w:rPr>
                <w:rFonts w:cs="Arial"/>
              </w:rPr>
            </w:pPr>
          </w:p>
        </w:tc>
      </w:tr>
    </w:tbl>
    <w:p w14:paraId="5417DF80" w14:textId="77777777" w:rsidR="00767DD4" w:rsidRPr="00B740CB" w:rsidRDefault="00767DD4" w:rsidP="00767DD4">
      <w:pPr>
        <w:pStyle w:val="0Textedebase"/>
        <w:rPr>
          <w:i/>
          <w:iCs/>
        </w:rPr>
      </w:pPr>
    </w:p>
    <w:p w14:paraId="32E60CD7" w14:textId="5DD3E98B" w:rsidR="00767DD4" w:rsidRPr="00B740CB" w:rsidRDefault="00767DD4" w:rsidP="005B448A">
      <w:pPr>
        <w:pStyle w:val="0Textedebase"/>
        <w:rPr>
          <w:i/>
          <w:iCs/>
        </w:rPr>
      </w:pPr>
      <w:r w:rsidRPr="00B740CB">
        <w:rPr>
          <w:i/>
          <w:iCs/>
        </w:rPr>
        <w:t>Tableau 5 – Tarif intérieur pour un petit paquet (E) de la poste aux lettres prioritaire de 175 grammes dans le cadre du service intérieur, entrant en vigueur au 1</w:t>
      </w:r>
      <w:r w:rsidRPr="00B740CB">
        <w:rPr>
          <w:i/>
          <w:iCs/>
          <w:vertAlign w:val="superscript"/>
        </w:rPr>
        <w:t>er</w:t>
      </w:r>
      <w:r w:rsidR="00792EEC" w:rsidRPr="00B740CB">
        <w:rPr>
          <w:i/>
          <w:iCs/>
        </w:rPr>
        <w:t xml:space="preserve"> </w:t>
      </w:r>
      <w:r w:rsidR="005162D1" w:rsidRPr="00B740CB">
        <w:rPr>
          <w:i/>
          <w:iCs/>
        </w:rPr>
        <w:t>mai</w:t>
      </w:r>
      <w:r w:rsidR="00792EEC" w:rsidRPr="00B740CB">
        <w:rPr>
          <w:i/>
          <w:iCs/>
        </w:rPr>
        <w:t xml:space="preserve"> </w:t>
      </w:r>
      <w:r w:rsidR="003D7E0B" w:rsidRPr="00B740CB">
        <w:rPr>
          <w:i/>
          <w:iCs/>
        </w:rPr>
        <w:t>2026</w:t>
      </w:r>
    </w:p>
    <w:p w14:paraId="3E8757B1" w14:textId="77777777" w:rsidR="00767DD4" w:rsidRPr="00B740CB" w:rsidRDefault="00767DD4" w:rsidP="00767DD4">
      <w:pPr>
        <w:pStyle w:val="0Textedebase"/>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7FA4651A" w14:textId="77777777" w:rsidTr="002E7924">
        <w:trPr>
          <w:cantSplit/>
        </w:trPr>
        <w:tc>
          <w:tcPr>
            <w:tcW w:w="2646" w:type="pct"/>
            <w:shd w:val="clear" w:color="auto" w:fill="auto"/>
          </w:tcPr>
          <w:p w14:paraId="693BF4FE" w14:textId="77777777" w:rsidR="00767DD4" w:rsidRPr="00B740CB" w:rsidRDefault="00767DD4" w:rsidP="00457E32">
            <w:pPr>
              <w:spacing w:before="40" w:after="40"/>
              <w:rPr>
                <w:rFonts w:cs="Arial"/>
              </w:rPr>
            </w:pPr>
            <w:r w:rsidRPr="00B740CB">
              <w:t xml:space="preserve">Taux si une tarification par zone ne s’applique pas </w:t>
            </w:r>
            <w:r w:rsidRPr="00B740CB">
              <w:br/>
              <w:t>(en monnaie locale)</w:t>
            </w:r>
          </w:p>
        </w:tc>
        <w:tc>
          <w:tcPr>
            <w:tcW w:w="2354" w:type="pct"/>
            <w:shd w:val="clear" w:color="auto" w:fill="auto"/>
          </w:tcPr>
          <w:p w14:paraId="3C32B05B" w14:textId="77777777" w:rsidR="00767DD4" w:rsidRPr="00B740CB" w:rsidRDefault="00767DD4" w:rsidP="00457E32">
            <w:pPr>
              <w:spacing w:before="40" w:after="40"/>
              <w:rPr>
                <w:rFonts w:cs="Arial"/>
              </w:rPr>
            </w:pPr>
          </w:p>
        </w:tc>
      </w:tr>
      <w:tr w:rsidR="00767DD4" w:rsidRPr="00B740CB" w14:paraId="7C0E36BE" w14:textId="77777777" w:rsidTr="002E7924">
        <w:trPr>
          <w:cantSplit/>
        </w:trPr>
        <w:tc>
          <w:tcPr>
            <w:tcW w:w="2646" w:type="pct"/>
            <w:shd w:val="clear" w:color="auto" w:fill="auto"/>
          </w:tcPr>
          <w:p w14:paraId="60C792AD" w14:textId="24C85AC0" w:rsidR="00767DD4" w:rsidRPr="00B740CB" w:rsidRDefault="00767DD4" w:rsidP="00457E32">
            <w:pPr>
              <w:spacing w:before="40" w:after="40"/>
              <w:rPr>
                <w:rFonts w:cs="Arial"/>
              </w:rPr>
            </w:pPr>
            <w:r w:rsidRPr="00B740CB">
              <w:t>Taux si une tarification par zone s’applique</w:t>
            </w:r>
            <w:r w:rsidR="003D7E0B" w:rsidRPr="00B740CB">
              <w:t xml:space="preserve"> (en monnaie locale)</w:t>
            </w:r>
          </w:p>
        </w:tc>
        <w:tc>
          <w:tcPr>
            <w:tcW w:w="2354" w:type="pct"/>
            <w:shd w:val="clear" w:color="auto" w:fill="auto"/>
          </w:tcPr>
          <w:p w14:paraId="6352D6FB" w14:textId="77777777" w:rsidR="00767DD4" w:rsidRPr="00B740CB" w:rsidRDefault="00767DD4" w:rsidP="00457E32">
            <w:pPr>
              <w:spacing w:before="40" w:after="40"/>
              <w:rPr>
                <w:rFonts w:cs="Arial"/>
              </w:rPr>
            </w:pPr>
          </w:p>
        </w:tc>
      </w:tr>
      <w:tr w:rsidR="00767DD4" w:rsidRPr="00B740CB" w14:paraId="3A03C69C"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85715E0" w14:textId="77777777" w:rsidR="00767DD4" w:rsidRPr="00B740CB" w:rsidRDefault="00767DD4" w:rsidP="00457E32">
            <w:pPr>
              <w:spacing w:before="40" w:after="40"/>
              <w:rPr>
                <w:rFonts w:cs="Arial"/>
              </w:rPr>
            </w:pPr>
            <w:r w:rsidRPr="00B740CB">
              <w:lastRenderedPageBreak/>
              <w:t>Si une tarification par zone s’applique, veuillez indiquer la méthode utilisée pour déterminer cette tarification:</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FEF2025" w14:textId="0819C344" w:rsidR="00767DD4" w:rsidRPr="00B740CB" w:rsidRDefault="00767DD4" w:rsidP="00B21635">
            <w:pPr>
              <w:spacing w:before="40" w:after="40"/>
              <w:ind w:left="319" w:hanging="319"/>
              <w:rPr>
                <w:rFonts w:cs="Arial"/>
              </w:rPr>
            </w:pPr>
            <w:r w:rsidRPr="00B740CB">
              <w:rPr>
                <w:sz w:val="24"/>
                <w:szCs w:val="24"/>
              </w:rPr>
              <w:sym w:font="Wingdings" w:char="F072"/>
            </w:r>
            <w:r w:rsidRPr="00B740CB">
              <w:rPr>
                <w:sz w:val="24"/>
                <w:szCs w:val="24"/>
              </w:rPr>
              <w:tab/>
            </w:r>
            <w:r w:rsidRPr="00B740CB">
              <w:t>La tarification par zone indiquée ci-dessus correspond à la distance moyenne réelle pondérée parcourue par les petits paquets (E) de la poste aux lettres</w:t>
            </w:r>
            <w:r w:rsidRPr="00B740CB">
              <w:rPr>
                <w:rStyle w:val="Appelnotedebasdep"/>
                <w:rFonts w:cs="Arial"/>
              </w:rPr>
              <w:footnoteReference w:id="9"/>
            </w:r>
          </w:p>
          <w:p w14:paraId="59BCC5F9" w14:textId="77777777" w:rsidR="00767DD4" w:rsidRPr="00B740CB" w:rsidRDefault="00767DD4" w:rsidP="00B21635">
            <w:pPr>
              <w:spacing w:before="40" w:after="40"/>
              <w:ind w:left="319" w:hanging="319"/>
              <w:rPr>
                <w:rFonts w:cs="Arial"/>
              </w:rPr>
            </w:pPr>
            <w:r w:rsidRPr="00B740CB">
              <w:rPr>
                <w:sz w:val="24"/>
                <w:szCs w:val="24"/>
              </w:rPr>
              <w:sym w:font="Wingdings" w:char="F072"/>
            </w:r>
            <w:r w:rsidRPr="00B740CB">
              <w:tab/>
              <w:t>La tarification par zone correspond au tarif médian du système de tarifs intérieurs par zone</w:t>
            </w:r>
          </w:p>
        </w:tc>
      </w:tr>
      <w:tr w:rsidR="00767DD4" w:rsidRPr="00B740CB" w14:paraId="443A92B4"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DE730C1" w14:textId="77777777" w:rsidR="00767DD4" w:rsidRPr="00B740CB" w:rsidRDefault="00767DD4" w:rsidP="00457E32">
            <w:pPr>
              <w:spacing w:before="40" w:after="40"/>
              <w:rPr>
                <w:rFonts w:cs="Arial"/>
              </w:rPr>
            </w:pPr>
            <w:r w:rsidRPr="00B740CB">
              <w:t>Taux de TVA ou autres taxes incluses dans le tarif</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9462D09" w14:textId="77777777" w:rsidR="00767DD4" w:rsidRPr="00B740CB" w:rsidRDefault="00767DD4" w:rsidP="00457E32">
            <w:pPr>
              <w:spacing w:before="40" w:after="40"/>
              <w:rPr>
                <w:rFonts w:cs="Arial"/>
              </w:rPr>
            </w:pPr>
          </w:p>
        </w:tc>
      </w:tr>
      <w:tr w:rsidR="00767DD4" w:rsidRPr="00B740CB" w14:paraId="561769FD"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61AD477" w14:textId="77777777" w:rsidR="00767DD4" w:rsidRPr="00B740CB" w:rsidRDefault="00767DD4" w:rsidP="00457E32">
            <w:pPr>
              <w:spacing w:before="40" w:after="40"/>
              <w:rPr>
                <w:rFonts w:cs="Arial"/>
              </w:rPr>
            </w:pPr>
            <w:r w:rsidRPr="00B740CB">
              <w:t>Format/catégorie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E55A13D" w14:textId="77777777" w:rsidR="00767DD4" w:rsidRPr="00B740CB" w:rsidRDefault="00767DD4" w:rsidP="00457E32">
            <w:pPr>
              <w:keepNext/>
              <w:keepLines/>
              <w:spacing w:before="40" w:after="40"/>
              <w:rPr>
                <w:rFonts w:cs="Arial"/>
              </w:rPr>
            </w:pPr>
          </w:p>
        </w:tc>
      </w:tr>
      <w:tr w:rsidR="00767DD4" w:rsidRPr="00B740CB" w14:paraId="6BA7A82E"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5B49FE07" w14:textId="77777777" w:rsidR="00767DD4" w:rsidRPr="00B740CB" w:rsidRDefault="00767DD4" w:rsidP="002E7924">
            <w:pPr>
              <w:spacing w:before="40" w:after="40"/>
              <w:rPr>
                <w:rFonts w:cs="Arial"/>
              </w:rPr>
            </w:pPr>
            <w:r w:rsidRPr="00B740CB">
              <w:t xml:space="preserve">Veuillez indiquer si l’un des éléments de service </w:t>
            </w:r>
            <w:r w:rsidRPr="00B740CB">
              <w:br/>
              <w:t>ci-contre est compris dans le service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0A33AB2" w14:textId="77777777" w:rsidR="00767DD4" w:rsidRPr="00B740CB" w:rsidRDefault="00767DD4" w:rsidP="002E7924">
            <w:pPr>
              <w:spacing w:before="40" w:after="40"/>
              <w:rPr>
                <w:rFonts w:cs="Arial"/>
              </w:rPr>
            </w:pPr>
            <w:r w:rsidRPr="00B740CB">
              <w:t xml:space="preserve">Recommandation (remise contre signature </w:t>
            </w:r>
            <w:r w:rsidRPr="00B740CB">
              <w:br/>
              <w:t>et responsabilité)</w:t>
            </w:r>
          </w:p>
          <w:p w14:paraId="510F8492" w14:textId="77777777" w:rsidR="00B21635" w:rsidRPr="00B740CB" w:rsidRDefault="00B21635" w:rsidP="002E7924">
            <w:pPr>
              <w:spacing w:before="40" w:after="40"/>
              <w:ind w:left="319" w:hanging="319"/>
              <w:rPr>
                <w:rFonts w:cs="Arial"/>
              </w:rPr>
            </w:pPr>
            <w:r w:rsidRPr="00B740CB">
              <w:rPr>
                <w:sz w:val="24"/>
                <w:szCs w:val="24"/>
              </w:rPr>
              <w:sym w:font="Wingdings" w:char="F072"/>
            </w:r>
            <w:r w:rsidRPr="00B740CB">
              <w:tab/>
              <w:t>Oui</w:t>
            </w:r>
          </w:p>
          <w:p w14:paraId="5B5DC0EF" w14:textId="77777777" w:rsidR="00B21635" w:rsidRPr="00B740CB" w:rsidRDefault="00B21635" w:rsidP="002E7924">
            <w:pPr>
              <w:spacing w:before="40" w:after="40"/>
              <w:ind w:left="319" w:hanging="319"/>
              <w:rPr>
                <w:rFonts w:cs="Arial"/>
              </w:rPr>
            </w:pPr>
            <w:r w:rsidRPr="00B740CB">
              <w:rPr>
                <w:sz w:val="24"/>
                <w:szCs w:val="24"/>
              </w:rPr>
              <w:sym w:font="Wingdings" w:char="F072"/>
            </w:r>
            <w:r w:rsidRPr="00B740CB">
              <w:tab/>
              <w:t>Non</w:t>
            </w:r>
          </w:p>
          <w:p w14:paraId="36BF803E" w14:textId="0AE9100E" w:rsidR="00767DD4" w:rsidRPr="00B740CB" w:rsidRDefault="00767DD4" w:rsidP="002E7924">
            <w:pPr>
              <w:tabs>
                <w:tab w:val="left" w:pos="4294"/>
              </w:tabs>
              <w:spacing w:before="40" w:after="40"/>
              <w:rPr>
                <w:rFonts w:cs="Arial"/>
                <w:u w:val="single"/>
              </w:rPr>
            </w:pPr>
            <w:r w:rsidRPr="00B740CB">
              <w:t>Tarif intérieur supplémentaire, si disponible:</w:t>
            </w:r>
            <w:r w:rsidR="003B74B8" w:rsidRPr="00B740CB">
              <w:rPr>
                <w:vertAlign w:val="superscript"/>
              </w:rPr>
              <w:t>8</w:t>
            </w:r>
            <w:r w:rsidRPr="00B740CB">
              <w:br/>
            </w:r>
            <w:r w:rsidRPr="00B740CB">
              <w:rPr>
                <w:u w:val="single"/>
              </w:rPr>
              <w:tab/>
            </w:r>
          </w:p>
        </w:tc>
      </w:tr>
      <w:tr w:rsidR="00B21635" w:rsidRPr="00B740CB" w14:paraId="70D1C492"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19EBEEDD"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0B375B65" w14:textId="77777777" w:rsidR="00B21635" w:rsidRPr="00B740CB" w:rsidRDefault="00B21635" w:rsidP="00457E32">
            <w:pPr>
              <w:spacing w:before="40" w:after="40"/>
              <w:rPr>
                <w:rFonts w:cs="Arial"/>
              </w:rPr>
            </w:pPr>
            <w:r w:rsidRPr="00B740CB">
              <w:t>Assurance</w:t>
            </w:r>
          </w:p>
          <w:p w14:paraId="65B9F3A0"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29C43B56"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68250F88" w14:textId="31C666F0" w:rsidR="00B21635" w:rsidRPr="00B740CB" w:rsidRDefault="00B21635" w:rsidP="003B74B8">
            <w:pPr>
              <w:tabs>
                <w:tab w:val="left" w:pos="4353"/>
              </w:tabs>
              <w:spacing w:before="40" w:after="40"/>
              <w:rPr>
                <w:rFonts w:cs="Arial"/>
                <w:i/>
                <w:iCs/>
                <w:u w:val="single"/>
              </w:rPr>
            </w:pPr>
            <w:r w:rsidRPr="00B740CB">
              <w:t>Tarif intérieur supplémentaire, si disponible:</w:t>
            </w:r>
            <w:r w:rsidR="003B74B8" w:rsidRPr="00B740CB">
              <w:rPr>
                <w:vertAlign w:val="superscript"/>
              </w:rPr>
              <w:t>8</w:t>
            </w:r>
            <w:r w:rsidRPr="00B740CB">
              <w:br/>
            </w:r>
            <w:r w:rsidRPr="00B740CB">
              <w:rPr>
                <w:i/>
                <w:iCs/>
                <w:u w:val="single"/>
              </w:rPr>
              <w:tab/>
            </w:r>
          </w:p>
        </w:tc>
      </w:tr>
      <w:tr w:rsidR="00B21635" w:rsidRPr="00B740CB" w14:paraId="66A834A8"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3A6F1205"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21322C1" w14:textId="77777777" w:rsidR="00B21635" w:rsidRPr="00B740CB" w:rsidRDefault="00B21635" w:rsidP="00B21635">
            <w:pPr>
              <w:spacing w:before="40" w:after="40"/>
              <w:rPr>
                <w:rFonts w:cs="Arial"/>
              </w:rPr>
            </w:pPr>
            <w:r w:rsidRPr="00B740CB">
              <w:t>Suivi</w:t>
            </w:r>
          </w:p>
          <w:p w14:paraId="43293741"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1F399D18"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004C6B74" w14:textId="77777777" w:rsidR="00B21635" w:rsidRPr="00B740CB" w:rsidRDefault="00B21635" w:rsidP="009A2BBC">
            <w:pPr>
              <w:tabs>
                <w:tab w:val="left" w:pos="4322"/>
              </w:tabs>
              <w:spacing w:before="40" w:after="40"/>
              <w:rPr>
                <w:rFonts w:cs="Arial"/>
              </w:rPr>
            </w:pPr>
            <w:r w:rsidRPr="00B740CB">
              <w:t>Tarif intérieur supplémentaire, si disponible:</w:t>
            </w:r>
            <w:r w:rsidR="009A2BBC" w:rsidRPr="00B740CB">
              <w:rPr>
                <w:rStyle w:val="Appelnotedebasdep"/>
              </w:rPr>
              <w:footnoteReference w:id="10"/>
            </w:r>
            <w:r w:rsidRPr="00B740CB">
              <w:br/>
            </w:r>
            <w:r w:rsidRPr="00B740CB">
              <w:rPr>
                <w:i/>
                <w:iCs/>
                <w:u w:val="single"/>
              </w:rPr>
              <w:tab/>
            </w:r>
          </w:p>
        </w:tc>
      </w:tr>
      <w:tr w:rsidR="00767DD4" w:rsidRPr="00B740CB" w14:paraId="6475B40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DF9102A" w14:textId="77777777" w:rsidR="00767DD4" w:rsidRPr="00B740CB" w:rsidRDefault="00767DD4" w:rsidP="00457E32">
            <w:pPr>
              <w:spacing w:before="40" w:after="40"/>
              <w:rPr>
                <w:rFonts w:cs="Arial"/>
              </w:rPr>
            </w:pPr>
            <w:r w:rsidRPr="00B740CB">
              <w:t>Nom du produit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6EE0655" w14:textId="77777777" w:rsidR="00767DD4" w:rsidRPr="00B740CB" w:rsidRDefault="00767DD4" w:rsidP="00457E32">
            <w:pPr>
              <w:spacing w:before="40" w:after="40"/>
              <w:rPr>
                <w:rFonts w:cs="Arial"/>
              </w:rPr>
            </w:pPr>
          </w:p>
        </w:tc>
      </w:tr>
      <w:tr w:rsidR="00767DD4" w:rsidRPr="00B740CB" w14:paraId="3257F5F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287955C" w14:textId="25B35F7A" w:rsidR="00767DD4" w:rsidRPr="00B740CB" w:rsidRDefault="00767DD4" w:rsidP="00457E32">
            <w:pPr>
              <w:spacing w:before="40" w:after="40"/>
              <w:rPr>
                <w:rFonts w:cs="Arial"/>
              </w:rPr>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6799BB9" w14:textId="77777777" w:rsidR="00767DD4" w:rsidRPr="00B740CB" w:rsidRDefault="00767DD4" w:rsidP="00457E32">
            <w:pPr>
              <w:spacing w:before="40" w:after="40"/>
              <w:rPr>
                <w:rFonts w:cs="Arial"/>
              </w:rPr>
            </w:pPr>
          </w:p>
        </w:tc>
      </w:tr>
      <w:tr w:rsidR="00767DD4" w:rsidRPr="00B740CB" w14:paraId="35F3C5A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38455B4" w14:textId="77777777" w:rsidR="00767DD4" w:rsidRPr="00B740CB" w:rsidRDefault="00767DD4" w:rsidP="00457E32">
            <w:pPr>
              <w:spacing w:before="40" w:after="40"/>
              <w:rPr>
                <w:rFonts w:cs="Arial"/>
              </w:rPr>
            </w:pPr>
            <w:r w:rsidRPr="00B740CB">
              <w:t>Dimensions maximales: largeur–longueur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6D8CB15" w14:textId="77777777" w:rsidR="00767DD4" w:rsidRPr="00B740CB" w:rsidRDefault="00767DD4" w:rsidP="00457E32">
            <w:pPr>
              <w:spacing w:before="40" w:after="40"/>
              <w:rPr>
                <w:rFonts w:cs="Arial"/>
              </w:rPr>
            </w:pPr>
          </w:p>
        </w:tc>
      </w:tr>
      <w:tr w:rsidR="00767DD4" w:rsidRPr="00B740CB" w14:paraId="2A43C76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3F2C6D9" w14:textId="77777777" w:rsidR="00767DD4" w:rsidRPr="00B740CB" w:rsidRDefault="00767DD4" w:rsidP="00457E32">
            <w:pPr>
              <w:spacing w:before="40" w:after="40"/>
              <w:rPr>
                <w:rFonts w:cs="Arial"/>
              </w:rPr>
            </w:pPr>
            <w:r w:rsidRPr="00B740CB">
              <w:t>Épaisseur maximale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3C36698" w14:textId="77777777" w:rsidR="00767DD4" w:rsidRPr="00B740CB" w:rsidRDefault="00767DD4" w:rsidP="00457E32">
            <w:pPr>
              <w:spacing w:before="40" w:after="40"/>
              <w:rPr>
                <w:rFonts w:cs="Arial"/>
              </w:rPr>
            </w:pPr>
          </w:p>
        </w:tc>
      </w:tr>
      <w:tr w:rsidR="00767DD4" w:rsidRPr="00B740CB" w14:paraId="378230C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545DA18" w14:textId="77E07BAE" w:rsidR="00767DD4" w:rsidRPr="00B740CB" w:rsidRDefault="00767DD4" w:rsidP="00457E32">
            <w:pPr>
              <w:spacing w:before="40" w:after="40"/>
              <w:rPr>
                <w:rFonts w:cs="Arial"/>
              </w:rPr>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3CC811D" w14:textId="77777777" w:rsidR="00767DD4" w:rsidRPr="00B740CB" w:rsidRDefault="00767DD4" w:rsidP="00457E32">
            <w:pPr>
              <w:spacing w:before="40" w:after="40"/>
              <w:rPr>
                <w:rFonts w:cs="Arial"/>
              </w:rPr>
            </w:pPr>
          </w:p>
        </w:tc>
      </w:tr>
      <w:tr w:rsidR="00767DD4" w:rsidRPr="00B740CB" w14:paraId="72CE42E8"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896ADDF" w14:textId="77777777" w:rsidR="00767DD4" w:rsidRPr="00B740CB" w:rsidRDefault="00767DD4" w:rsidP="00457E32">
            <w:pPr>
              <w:spacing w:before="40" w:after="40"/>
              <w:rPr>
                <w:rFonts w:cs="Arial"/>
              </w:rPr>
            </w:pPr>
            <w:r w:rsidRPr="00B740CB">
              <w:t>Adresse du site Web sur lequel ces informations peuvent être consultées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798FA7C" w14:textId="77777777" w:rsidR="00767DD4" w:rsidRPr="00B740CB" w:rsidRDefault="00767DD4" w:rsidP="00457E32">
            <w:pPr>
              <w:spacing w:before="40" w:after="40"/>
              <w:rPr>
                <w:rFonts w:cs="Arial"/>
              </w:rPr>
            </w:pPr>
          </w:p>
        </w:tc>
      </w:tr>
    </w:tbl>
    <w:p w14:paraId="6DE9B2A4" w14:textId="77777777" w:rsidR="00767DD4" w:rsidRPr="00B740CB" w:rsidRDefault="00767DD4" w:rsidP="00767DD4">
      <w:pPr>
        <w:pStyle w:val="0Textedebase"/>
      </w:pPr>
    </w:p>
    <w:p w14:paraId="2F0E2D75" w14:textId="65CE1BA1" w:rsidR="00767DD4" w:rsidRPr="00B740CB" w:rsidRDefault="00767DD4" w:rsidP="00767DD4">
      <w:pPr>
        <w:pStyle w:val="0Textedebase"/>
        <w:rPr>
          <w:i/>
          <w:iCs/>
        </w:rPr>
      </w:pPr>
      <w:r w:rsidRPr="00B740CB">
        <w:rPr>
          <w:i/>
          <w:iCs/>
        </w:rPr>
        <w:t>Tableau 6 – Tarif intérieur pour un petit paquet (E) de la poste aux lettres prioritaire de 250 grammes dans le cadre du service intérieur, entrant en vigueur au 1</w:t>
      </w:r>
      <w:r w:rsidRPr="00B740CB">
        <w:rPr>
          <w:i/>
          <w:iCs/>
          <w:vertAlign w:val="superscript"/>
        </w:rPr>
        <w:t>er</w:t>
      </w:r>
      <w:r w:rsidR="00792EEC" w:rsidRPr="00B740CB">
        <w:rPr>
          <w:i/>
          <w:iCs/>
        </w:rPr>
        <w:t xml:space="preserve"> </w:t>
      </w:r>
      <w:r w:rsidR="00810D35" w:rsidRPr="00B740CB">
        <w:rPr>
          <w:i/>
          <w:iCs/>
        </w:rPr>
        <w:t xml:space="preserve">mai </w:t>
      </w:r>
      <w:r w:rsidR="003D7E0B" w:rsidRPr="00B740CB">
        <w:rPr>
          <w:i/>
          <w:iCs/>
        </w:rPr>
        <w:t>2026</w:t>
      </w:r>
    </w:p>
    <w:p w14:paraId="289EEEAB" w14:textId="77777777" w:rsidR="00810D35" w:rsidRPr="00B740CB" w:rsidRDefault="00810D35" w:rsidP="00767DD4">
      <w:pPr>
        <w:pStyle w:val="0Textedebase"/>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15BC3A29" w14:textId="77777777" w:rsidTr="002E7924">
        <w:trPr>
          <w:cantSplit/>
        </w:trPr>
        <w:tc>
          <w:tcPr>
            <w:tcW w:w="2646" w:type="pct"/>
            <w:shd w:val="clear" w:color="auto" w:fill="auto"/>
          </w:tcPr>
          <w:p w14:paraId="4DF29DBF" w14:textId="77777777" w:rsidR="00767DD4" w:rsidRPr="00B740CB" w:rsidRDefault="00767DD4" w:rsidP="00457E32">
            <w:pPr>
              <w:spacing w:before="40" w:after="40"/>
              <w:rPr>
                <w:rFonts w:cs="Arial"/>
              </w:rPr>
            </w:pPr>
            <w:r w:rsidRPr="00B740CB">
              <w:t xml:space="preserve">Taux si une tarification par zone ne s’applique pas </w:t>
            </w:r>
            <w:r w:rsidRPr="00B740CB">
              <w:br/>
              <w:t>(en monnaie locale)</w:t>
            </w:r>
          </w:p>
        </w:tc>
        <w:tc>
          <w:tcPr>
            <w:tcW w:w="2354" w:type="pct"/>
            <w:shd w:val="clear" w:color="auto" w:fill="auto"/>
          </w:tcPr>
          <w:p w14:paraId="6F9A83B9" w14:textId="77777777" w:rsidR="00767DD4" w:rsidRPr="00B740CB" w:rsidRDefault="00767DD4" w:rsidP="00457E32">
            <w:pPr>
              <w:spacing w:before="40" w:after="40"/>
              <w:rPr>
                <w:rFonts w:cs="Arial"/>
              </w:rPr>
            </w:pPr>
          </w:p>
        </w:tc>
      </w:tr>
      <w:tr w:rsidR="00767DD4" w:rsidRPr="00B740CB" w14:paraId="1D3B9D5D" w14:textId="77777777" w:rsidTr="002E7924">
        <w:trPr>
          <w:cantSplit/>
        </w:trPr>
        <w:tc>
          <w:tcPr>
            <w:tcW w:w="2646" w:type="pct"/>
            <w:shd w:val="clear" w:color="auto" w:fill="auto"/>
          </w:tcPr>
          <w:p w14:paraId="710FE460" w14:textId="5576AA49" w:rsidR="00767DD4" w:rsidRPr="00B740CB" w:rsidRDefault="00767DD4" w:rsidP="00457E32">
            <w:pPr>
              <w:spacing w:before="40" w:after="40"/>
              <w:rPr>
                <w:rFonts w:cs="Arial"/>
              </w:rPr>
            </w:pPr>
            <w:r w:rsidRPr="00B740CB">
              <w:t>Taux si une tarification par zone s’applique</w:t>
            </w:r>
            <w:r w:rsidR="00674F9B" w:rsidRPr="00B740CB">
              <w:t xml:space="preserve"> (en monnaie locale)</w:t>
            </w:r>
          </w:p>
        </w:tc>
        <w:tc>
          <w:tcPr>
            <w:tcW w:w="2354" w:type="pct"/>
            <w:shd w:val="clear" w:color="auto" w:fill="auto"/>
          </w:tcPr>
          <w:p w14:paraId="09B91A89" w14:textId="77777777" w:rsidR="00767DD4" w:rsidRPr="00B740CB" w:rsidRDefault="00767DD4" w:rsidP="00457E32">
            <w:pPr>
              <w:spacing w:before="40" w:after="40"/>
              <w:rPr>
                <w:rFonts w:cs="Arial"/>
              </w:rPr>
            </w:pPr>
          </w:p>
        </w:tc>
      </w:tr>
      <w:tr w:rsidR="00767DD4" w:rsidRPr="00B740CB" w14:paraId="0BF84B2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310B6FB" w14:textId="77777777" w:rsidR="00767DD4" w:rsidRPr="00B740CB" w:rsidRDefault="00767DD4" w:rsidP="00457E32">
            <w:pPr>
              <w:spacing w:before="40" w:after="40"/>
              <w:rPr>
                <w:rFonts w:cs="Arial"/>
              </w:rPr>
            </w:pPr>
            <w:r w:rsidRPr="00B740CB">
              <w:lastRenderedPageBreak/>
              <w:t>Si une tarification par zone s’applique, veuillez indiquer la méthode utilisée pour déterminer cette tarification:</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3486586" w14:textId="415E880D" w:rsidR="00767DD4" w:rsidRPr="00B740CB" w:rsidRDefault="00767DD4" w:rsidP="00B21635">
            <w:pPr>
              <w:spacing w:before="40" w:after="40"/>
              <w:ind w:left="319" w:hanging="319"/>
              <w:rPr>
                <w:rFonts w:cs="Arial"/>
              </w:rPr>
            </w:pPr>
            <w:r w:rsidRPr="00B740CB">
              <w:rPr>
                <w:sz w:val="24"/>
                <w:szCs w:val="24"/>
              </w:rPr>
              <w:sym w:font="Wingdings" w:char="F072"/>
            </w:r>
            <w:r w:rsidRPr="00B740CB">
              <w:rPr>
                <w:sz w:val="24"/>
                <w:szCs w:val="24"/>
              </w:rPr>
              <w:tab/>
            </w:r>
            <w:r w:rsidRPr="00B740CB">
              <w:t>La tarification par zone indiquée ci-dessus correspond à la distance moyenne réelle pondérée parcourue par les petits paquets (E) de la poste aux lettres</w:t>
            </w:r>
            <w:r w:rsidRPr="00B740CB">
              <w:rPr>
                <w:rStyle w:val="Appelnotedebasdep"/>
                <w:rFonts w:cs="Arial"/>
              </w:rPr>
              <w:footnoteReference w:id="11"/>
            </w:r>
          </w:p>
          <w:p w14:paraId="32EEBDE8" w14:textId="77777777" w:rsidR="00767DD4" w:rsidRPr="00B740CB" w:rsidRDefault="00767DD4" w:rsidP="00B21635">
            <w:pPr>
              <w:spacing w:before="40" w:after="40"/>
              <w:ind w:left="319" w:hanging="319"/>
              <w:rPr>
                <w:rFonts w:cs="Arial"/>
              </w:rPr>
            </w:pPr>
            <w:r w:rsidRPr="00B740CB">
              <w:rPr>
                <w:sz w:val="24"/>
                <w:szCs w:val="24"/>
              </w:rPr>
              <w:sym w:font="Wingdings" w:char="F072"/>
            </w:r>
            <w:r w:rsidRPr="00B740CB">
              <w:tab/>
              <w:t>La tarification par zone correspond au tarif médian du système de tarifs intérieurs par zone</w:t>
            </w:r>
          </w:p>
        </w:tc>
      </w:tr>
      <w:tr w:rsidR="00767DD4" w:rsidRPr="00B740CB" w14:paraId="0B9C0555"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F681EFA" w14:textId="77777777" w:rsidR="00767DD4" w:rsidRPr="00B740CB" w:rsidRDefault="00767DD4" w:rsidP="00457E32">
            <w:pPr>
              <w:spacing w:before="40" w:after="40"/>
              <w:rPr>
                <w:rFonts w:cs="Arial"/>
              </w:rPr>
            </w:pPr>
            <w:r w:rsidRPr="00B740CB">
              <w:t>Taux de TVA ou autres taxes incluses dans le tarif</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8792C0E" w14:textId="77777777" w:rsidR="00767DD4" w:rsidRPr="00B740CB" w:rsidRDefault="00767DD4" w:rsidP="00457E32">
            <w:pPr>
              <w:spacing w:before="40" w:after="40"/>
              <w:rPr>
                <w:rFonts w:cs="Arial"/>
              </w:rPr>
            </w:pPr>
          </w:p>
        </w:tc>
      </w:tr>
      <w:tr w:rsidR="00767DD4" w:rsidRPr="00B740CB" w14:paraId="465ABAD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B854519" w14:textId="77777777" w:rsidR="00767DD4" w:rsidRPr="00B740CB" w:rsidRDefault="00767DD4" w:rsidP="00457E32">
            <w:pPr>
              <w:spacing w:before="40" w:after="40"/>
              <w:rPr>
                <w:rFonts w:cs="Arial"/>
              </w:rPr>
            </w:pPr>
            <w:r w:rsidRPr="00B740CB">
              <w:t>Format/catégorie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2B8CB44" w14:textId="77777777" w:rsidR="00767DD4" w:rsidRPr="00B740CB" w:rsidRDefault="00767DD4" w:rsidP="00457E32">
            <w:pPr>
              <w:keepNext/>
              <w:keepLines/>
              <w:spacing w:before="40" w:after="40"/>
              <w:rPr>
                <w:rFonts w:cs="Arial"/>
              </w:rPr>
            </w:pPr>
          </w:p>
        </w:tc>
      </w:tr>
      <w:tr w:rsidR="00767DD4" w:rsidRPr="00B740CB" w14:paraId="0BC5888D"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21BF4485" w14:textId="77777777" w:rsidR="00767DD4" w:rsidRPr="00B740CB" w:rsidRDefault="00767DD4" w:rsidP="002E7924">
            <w:pPr>
              <w:spacing w:before="40" w:after="40"/>
              <w:rPr>
                <w:rFonts w:cs="Arial"/>
              </w:rPr>
            </w:pPr>
            <w:r w:rsidRPr="00B740CB">
              <w:t xml:space="preserve">Veuillez indiquer si l’un des éléments de service </w:t>
            </w:r>
            <w:r w:rsidRPr="00B740CB">
              <w:br/>
              <w:t>ci-contre est compris dans le service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1B45771" w14:textId="77777777" w:rsidR="00767DD4" w:rsidRPr="00B740CB" w:rsidRDefault="00767DD4" w:rsidP="002E7924">
            <w:pPr>
              <w:spacing w:before="40" w:after="40"/>
              <w:rPr>
                <w:rFonts w:cs="Arial"/>
              </w:rPr>
            </w:pPr>
            <w:r w:rsidRPr="00B740CB">
              <w:t xml:space="preserve">Recommandation (remise contre signature </w:t>
            </w:r>
            <w:r w:rsidRPr="00B740CB">
              <w:br/>
              <w:t>et responsabilité)</w:t>
            </w:r>
          </w:p>
          <w:p w14:paraId="3E8B5B93" w14:textId="77777777" w:rsidR="00B21635" w:rsidRPr="00B740CB" w:rsidRDefault="00B21635" w:rsidP="002E7924">
            <w:pPr>
              <w:spacing w:before="40" w:after="40"/>
              <w:ind w:left="319" w:hanging="319"/>
              <w:rPr>
                <w:rFonts w:cs="Arial"/>
              </w:rPr>
            </w:pPr>
            <w:r w:rsidRPr="00B740CB">
              <w:rPr>
                <w:sz w:val="24"/>
                <w:szCs w:val="24"/>
              </w:rPr>
              <w:sym w:font="Wingdings" w:char="F072"/>
            </w:r>
            <w:r w:rsidRPr="00B740CB">
              <w:tab/>
              <w:t>Oui</w:t>
            </w:r>
          </w:p>
          <w:p w14:paraId="0344E1DC" w14:textId="77777777" w:rsidR="00B21635" w:rsidRPr="00B740CB" w:rsidRDefault="00B21635" w:rsidP="002E7924">
            <w:pPr>
              <w:spacing w:before="40" w:after="40"/>
              <w:ind w:left="319" w:hanging="319"/>
              <w:rPr>
                <w:rFonts w:cs="Arial"/>
              </w:rPr>
            </w:pPr>
            <w:r w:rsidRPr="00B740CB">
              <w:rPr>
                <w:sz w:val="24"/>
                <w:szCs w:val="24"/>
              </w:rPr>
              <w:sym w:font="Wingdings" w:char="F072"/>
            </w:r>
            <w:r w:rsidRPr="00B740CB">
              <w:tab/>
              <w:t>Non</w:t>
            </w:r>
          </w:p>
          <w:p w14:paraId="04996508" w14:textId="7572C67B" w:rsidR="00767DD4" w:rsidRPr="00B740CB" w:rsidRDefault="00767DD4" w:rsidP="002E7924">
            <w:pPr>
              <w:tabs>
                <w:tab w:val="left" w:pos="4294"/>
              </w:tabs>
              <w:spacing w:before="40" w:after="40"/>
              <w:rPr>
                <w:rFonts w:cs="Arial"/>
                <w:u w:val="single"/>
              </w:rPr>
            </w:pPr>
            <w:r w:rsidRPr="00B740CB">
              <w:t>Tarif intérieur supplémentaire, si disponible:</w:t>
            </w:r>
            <w:r w:rsidR="003B74B8" w:rsidRPr="00B740CB">
              <w:rPr>
                <w:rFonts w:cs="Arial"/>
                <w:vertAlign w:val="superscript"/>
              </w:rPr>
              <w:t>10</w:t>
            </w:r>
            <w:r w:rsidRPr="00B740CB">
              <w:br/>
            </w:r>
            <w:r w:rsidRPr="00B740CB">
              <w:rPr>
                <w:u w:val="single"/>
              </w:rPr>
              <w:tab/>
            </w:r>
          </w:p>
        </w:tc>
      </w:tr>
      <w:tr w:rsidR="00B21635" w:rsidRPr="00B740CB" w14:paraId="62FDB00B"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34144CE0"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09D5F8C9" w14:textId="77777777" w:rsidR="00B21635" w:rsidRPr="00B740CB" w:rsidRDefault="00B21635" w:rsidP="00457E32">
            <w:pPr>
              <w:spacing w:before="40" w:after="40"/>
              <w:rPr>
                <w:rFonts w:cs="Arial"/>
              </w:rPr>
            </w:pPr>
            <w:r w:rsidRPr="00B740CB">
              <w:t>Assurance</w:t>
            </w:r>
          </w:p>
          <w:p w14:paraId="70B5E792"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0D81C0DB"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45D04BED" w14:textId="0D6F07AE" w:rsidR="00B21635" w:rsidRPr="00B740CB" w:rsidRDefault="00B21635" w:rsidP="003B74B8">
            <w:pPr>
              <w:tabs>
                <w:tab w:val="left" w:pos="4353"/>
              </w:tabs>
              <w:spacing w:before="40" w:after="40"/>
              <w:rPr>
                <w:rFonts w:cs="Arial"/>
                <w:i/>
                <w:iCs/>
                <w:u w:val="single"/>
              </w:rPr>
            </w:pPr>
            <w:r w:rsidRPr="00B740CB">
              <w:t>Tarif intérieur supplémentaire, si disponible:</w:t>
            </w:r>
            <w:r w:rsidR="003B74B8" w:rsidRPr="00B740CB">
              <w:rPr>
                <w:vertAlign w:val="superscript"/>
              </w:rPr>
              <w:t>10</w:t>
            </w:r>
            <w:r w:rsidRPr="00B740CB">
              <w:br/>
            </w:r>
            <w:r w:rsidRPr="00B740CB">
              <w:rPr>
                <w:i/>
                <w:iCs/>
                <w:u w:val="single"/>
              </w:rPr>
              <w:tab/>
            </w:r>
          </w:p>
        </w:tc>
      </w:tr>
      <w:tr w:rsidR="00B21635" w:rsidRPr="00B740CB" w14:paraId="6C15ACC3"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395773E2"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B056F6E" w14:textId="77777777" w:rsidR="00B21635" w:rsidRPr="00B740CB" w:rsidRDefault="00B21635" w:rsidP="00B21635">
            <w:pPr>
              <w:spacing w:before="40" w:after="40"/>
              <w:rPr>
                <w:rFonts w:cs="Arial"/>
              </w:rPr>
            </w:pPr>
            <w:r w:rsidRPr="00B740CB">
              <w:t>Suivi</w:t>
            </w:r>
          </w:p>
          <w:p w14:paraId="4A90AFFE"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2BBC85CE"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7A660434" w14:textId="77777777" w:rsidR="00B21635" w:rsidRPr="00B740CB" w:rsidRDefault="00B21635" w:rsidP="00B21635">
            <w:pPr>
              <w:tabs>
                <w:tab w:val="left" w:pos="4322"/>
              </w:tabs>
              <w:spacing w:before="40" w:after="40"/>
              <w:rPr>
                <w:rFonts w:cs="Arial"/>
              </w:rPr>
            </w:pPr>
            <w:r w:rsidRPr="00B740CB">
              <w:t>Tarif intérieur supplémentaire, si disponible:</w:t>
            </w:r>
            <w:r w:rsidR="009A2BBC" w:rsidRPr="00B740CB">
              <w:rPr>
                <w:rStyle w:val="Appelnotedebasdep"/>
              </w:rPr>
              <w:footnoteReference w:id="12"/>
            </w:r>
            <w:r w:rsidRPr="00B740CB">
              <w:br/>
            </w:r>
            <w:r w:rsidRPr="00B740CB">
              <w:rPr>
                <w:i/>
                <w:iCs/>
                <w:u w:val="single"/>
              </w:rPr>
              <w:tab/>
            </w:r>
          </w:p>
        </w:tc>
      </w:tr>
      <w:tr w:rsidR="00767DD4" w:rsidRPr="00B740CB" w14:paraId="7BA7323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691950D" w14:textId="77777777" w:rsidR="00767DD4" w:rsidRPr="00B740CB" w:rsidRDefault="00767DD4" w:rsidP="00457E32">
            <w:pPr>
              <w:spacing w:before="40" w:after="40"/>
              <w:rPr>
                <w:rFonts w:cs="Arial"/>
              </w:rPr>
            </w:pPr>
            <w:r w:rsidRPr="00B740CB">
              <w:t>Nom du produit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A0FCFE3" w14:textId="77777777" w:rsidR="00767DD4" w:rsidRPr="00B740CB" w:rsidRDefault="00767DD4" w:rsidP="00457E32">
            <w:pPr>
              <w:spacing w:before="40" w:after="40"/>
              <w:rPr>
                <w:rFonts w:cs="Arial"/>
              </w:rPr>
            </w:pPr>
          </w:p>
        </w:tc>
      </w:tr>
      <w:tr w:rsidR="00767DD4" w:rsidRPr="00B740CB" w14:paraId="39EF740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8878E42" w14:textId="77777777" w:rsidR="00767DD4" w:rsidRPr="00B740CB" w:rsidRDefault="00767DD4" w:rsidP="00457E32">
            <w:pPr>
              <w:spacing w:before="40" w:after="40"/>
              <w:rPr>
                <w:rFonts w:cs="Arial"/>
              </w:rPr>
            </w:pPr>
            <w:r w:rsidRPr="00B740CB">
              <w:t>Dimensions maximales: largeur–longueur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3694E59" w14:textId="77777777" w:rsidR="00767DD4" w:rsidRPr="00B740CB" w:rsidRDefault="00767DD4" w:rsidP="00457E32">
            <w:pPr>
              <w:spacing w:before="40" w:after="40"/>
              <w:rPr>
                <w:rFonts w:cs="Arial"/>
              </w:rPr>
            </w:pPr>
          </w:p>
        </w:tc>
      </w:tr>
      <w:tr w:rsidR="00767DD4" w:rsidRPr="00B740CB" w14:paraId="20CD6964"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24376F4" w14:textId="77777777" w:rsidR="00767DD4" w:rsidRPr="00B740CB" w:rsidRDefault="00767DD4" w:rsidP="00457E32">
            <w:pPr>
              <w:spacing w:before="40" w:after="40"/>
              <w:rPr>
                <w:rFonts w:cs="Arial"/>
              </w:rPr>
            </w:pPr>
            <w:r w:rsidRPr="00B740CB">
              <w:t>Épaisseur maximale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13747E1" w14:textId="77777777" w:rsidR="00767DD4" w:rsidRPr="00B740CB" w:rsidRDefault="00767DD4" w:rsidP="00457E32">
            <w:pPr>
              <w:spacing w:before="40" w:after="40"/>
              <w:rPr>
                <w:rFonts w:cs="Arial"/>
              </w:rPr>
            </w:pPr>
          </w:p>
        </w:tc>
      </w:tr>
      <w:tr w:rsidR="00767DD4" w:rsidRPr="00B740CB" w14:paraId="394AA98C"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22C62A1" w14:textId="77777777" w:rsidR="00767DD4" w:rsidRPr="00B740CB" w:rsidRDefault="00767DD4" w:rsidP="00457E32">
            <w:pPr>
              <w:spacing w:before="40" w:after="40"/>
              <w:rPr>
                <w:rFonts w:cs="Arial"/>
              </w:rPr>
            </w:pPr>
            <w:r w:rsidRPr="00B740CB">
              <w:t>Adresse du site Web sur lequel ces informations peuvent être consultées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BD08351" w14:textId="77777777" w:rsidR="00767DD4" w:rsidRPr="00B740CB" w:rsidRDefault="00767DD4" w:rsidP="00457E32">
            <w:pPr>
              <w:spacing w:before="40" w:after="40"/>
              <w:rPr>
                <w:rFonts w:cs="Arial"/>
              </w:rPr>
            </w:pPr>
          </w:p>
        </w:tc>
      </w:tr>
    </w:tbl>
    <w:p w14:paraId="005721BA" w14:textId="77777777" w:rsidR="00767DD4" w:rsidRPr="00B740CB" w:rsidRDefault="00767DD4" w:rsidP="00767DD4">
      <w:pPr>
        <w:pStyle w:val="0Textedebase"/>
      </w:pPr>
    </w:p>
    <w:p w14:paraId="29B58316" w14:textId="36713EA2" w:rsidR="00767DD4" w:rsidRPr="00B740CB" w:rsidRDefault="00767DD4" w:rsidP="005B448A">
      <w:pPr>
        <w:pStyle w:val="0Textedebase"/>
        <w:rPr>
          <w:i/>
          <w:iCs/>
        </w:rPr>
      </w:pPr>
      <w:r w:rsidRPr="00B740CB">
        <w:rPr>
          <w:i/>
          <w:iCs/>
        </w:rPr>
        <w:t>Tableau 7 – Tarif intérieur pour un petit paquet (E) de la poste aux lettres prioritaire de 375 grammes dans le cadre du service intérieur, entrant en vigueur au 1</w:t>
      </w:r>
      <w:r w:rsidRPr="00B740CB">
        <w:rPr>
          <w:i/>
          <w:iCs/>
          <w:vertAlign w:val="superscript"/>
        </w:rPr>
        <w:t>er</w:t>
      </w:r>
      <w:r w:rsidRPr="00B740CB">
        <w:rPr>
          <w:i/>
          <w:iCs/>
        </w:rPr>
        <w:t xml:space="preserve"> </w:t>
      </w:r>
      <w:r w:rsidR="005B7783" w:rsidRPr="00B740CB">
        <w:rPr>
          <w:i/>
          <w:iCs/>
        </w:rPr>
        <w:t xml:space="preserve">mai </w:t>
      </w:r>
      <w:r w:rsidR="00674F9B" w:rsidRPr="00B740CB">
        <w:rPr>
          <w:i/>
          <w:iCs/>
        </w:rPr>
        <w:t>2026</w:t>
      </w:r>
    </w:p>
    <w:p w14:paraId="3372A468" w14:textId="77777777" w:rsidR="00767DD4" w:rsidRPr="00B740CB" w:rsidRDefault="00767DD4" w:rsidP="00767DD4">
      <w:pPr>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1C219CAB" w14:textId="77777777" w:rsidTr="002E7924">
        <w:trPr>
          <w:cantSplit/>
        </w:trPr>
        <w:tc>
          <w:tcPr>
            <w:tcW w:w="2646" w:type="pct"/>
            <w:shd w:val="clear" w:color="auto" w:fill="auto"/>
          </w:tcPr>
          <w:p w14:paraId="501A0199" w14:textId="77777777" w:rsidR="00767DD4" w:rsidRPr="00B740CB" w:rsidRDefault="00767DD4" w:rsidP="00457E32">
            <w:pPr>
              <w:spacing w:before="40" w:after="40"/>
              <w:rPr>
                <w:rFonts w:cs="Arial"/>
              </w:rPr>
            </w:pPr>
            <w:r w:rsidRPr="00B740CB">
              <w:t xml:space="preserve">Taux si une tarification par zone ne s’applique pas </w:t>
            </w:r>
            <w:r w:rsidRPr="00B740CB">
              <w:br/>
              <w:t>(en monnaie locale)</w:t>
            </w:r>
          </w:p>
        </w:tc>
        <w:tc>
          <w:tcPr>
            <w:tcW w:w="2354" w:type="pct"/>
            <w:shd w:val="clear" w:color="auto" w:fill="auto"/>
          </w:tcPr>
          <w:p w14:paraId="10BC1FEE" w14:textId="77777777" w:rsidR="00767DD4" w:rsidRPr="00B740CB" w:rsidRDefault="00767DD4" w:rsidP="00457E32">
            <w:pPr>
              <w:spacing w:before="40" w:after="40"/>
              <w:rPr>
                <w:rFonts w:cs="Arial"/>
              </w:rPr>
            </w:pPr>
          </w:p>
        </w:tc>
      </w:tr>
      <w:tr w:rsidR="00767DD4" w:rsidRPr="00B740CB" w14:paraId="526304BB" w14:textId="77777777" w:rsidTr="002E7924">
        <w:trPr>
          <w:cantSplit/>
        </w:trPr>
        <w:tc>
          <w:tcPr>
            <w:tcW w:w="2646" w:type="pct"/>
            <w:shd w:val="clear" w:color="auto" w:fill="auto"/>
          </w:tcPr>
          <w:p w14:paraId="5084103B" w14:textId="1C73B66D" w:rsidR="00767DD4" w:rsidRPr="00B740CB" w:rsidRDefault="00767DD4" w:rsidP="00457E32">
            <w:pPr>
              <w:spacing w:before="40" w:after="40"/>
              <w:rPr>
                <w:rFonts w:cs="Arial"/>
              </w:rPr>
            </w:pPr>
            <w:r w:rsidRPr="00B740CB">
              <w:t>Taux si une tarification par zone s’applique</w:t>
            </w:r>
            <w:r w:rsidR="00674F9B" w:rsidRPr="00B740CB">
              <w:t xml:space="preserve"> (en monnaie locale)</w:t>
            </w:r>
          </w:p>
        </w:tc>
        <w:tc>
          <w:tcPr>
            <w:tcW w:w="2354" w:type="pct"/>
            <w:shd w:val="clear" w:color="auto" w:fill="auto"/>
          </w:tcPr>
          <w:p w14:paraId="756F858A" w14:textId="77777777" w:rsidR="00767DD4" w:rsidRPr="00B740CB" w:rsidRDefault="00767DD4" w:rsidP="00457E32">
            <w:pPr>
              <w:spacing w:before="40" w:after="40"/>
              <w:rPr>
                <w:rFonts w:cs="Arial"/>
              </w:rPr>
            </w:pPr>
          </w:p>
        </w:tc>
      </w:tr>
      <w:tr w:rsidR="00767DD4" w:rsidRPr="00B740CB" w14:paraId="1C5D284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BB94EAE" w14:textId="77777777" w:rsidR="00767DD4" w:rsidRPr="00B740CB" w:rsidRDefault="00767DD4" w:rsidP="00457E32">
            <w:pPr>
              <w:spacing w:before="40" w:after="40"/>
              <w:rPr>
                <w:rFonts w:cs="Arial"/>
              </w:rPr>
            </w:pPr>
            <w:r w:rsidRPr="00B740CB">
              <w:lastRenderedPageBreak/>
              <w:t>Si une tarification par zone s’applique, veuillez indiquer la méthode utilisée pour déterminer cette tarification:</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F0C2D65" w14:textId="20EE2B94" w:rsidR="00767DD4" w:rsidRPr="00B740CB" w:rsidRDefault="00767DD4" w:rsidP="00B21635">
            <w:pPr>
              <w:spacing w:before="40" w:after="40"/>
              <w:ind w:left="319" w:hanging="319"/>
              <w:rPr>
                <w:rFonts w:cs="Arial"/>
              </w:rPr>
            </w:pPr>
            <w:r w:rsidRPr="00B740CB">
              <w:rPr>
                <w:sz w:val="24"/>
                <w:szCs w:val="24"/>
              </w:rPr>
              <w:sym w:font="Wingdings" w:char="F072"/>
            </w:r>
            <w:r w:rsidRPr="00B740CB">
              <w:rPr>
                <w:sz w:val="24"/>
                <w:szCs w:val="24"/>
              </w:rPr>
              <w:tab/>
            </w:r>
            <w:r w:rsidRPr="00B740CB">
              <w:t>La tarification par zone indiquée ci-dessus correspond à la distance moyenne réelle pondérée parcourue par les petits paquets (E) de la poste aux lettres</w:t>
            </w:r>
            <w:r w:rsidRPr="00B740CB">
              <w:rPr>
                <w:rStyle w:val="Appelnotedebasdep"/>
                <w:rFonts w:cs="Arial"/>
              </w:rPr>
              <w:footnoteReference w:id="13"/>
            </w:r>
          </w:p>
          <w:p w14:paraId="3E2B40AE" w14:textId="77777777" w:rsidR="00767DD4" w:rsidRPr="00B740CB" w:rsidRDefault="00767DD4" w:rsidP="00B21635">
            <w:pPr>
              <w:spacing w:before="40" w:after="40"/>
              <w:ind w:left="319" w:hanging="319"/>
              <w:rPr>
                <w:rFonts w:cs="Arial"/>
              </w:rPr>
            </w:pPr>
            <w:r w:rsidRPr="00B740CB">
              <w:rPr>
                <w:sz w:val="24"/>
                <w:szCs w:val="24"/>
              </w:rPr>
              <w:sym w:font="Wingdings" w:char="F072"/>
            </w:r>
            <w:r w:rsidRPr="00B740CB">
              <w:tab/>
              <w:t>La tarification par zone correspond au tarif médian du système de tarifs intérieurs par zone</w:t>
            </w:r>
          </w:p>
        </w:tc>
      </w:tr>
      <w:tr w:rsidR="00767DD4" w:rsidRPr="00B740CB" w14:paraId="19D437E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CDE25AC" w14:textId="77777777" w:rsidR="00767DD4" w:rsidRPr="00B740CB" w:rsidRDefault="00767DD4" w:rsidP="00457E32">
            <w:pPr>
              <w:spacing w:before="40" w:after="40"/>
              <w:rPr>
                <w:rFonts w:cs="Arial"/>
              </w:rPr>
            </w:pPr>
            <w:r w:rsidRPr="00B740CB">
              <w:t>Taux de TVA ou autres taxes incluses dans le tarif</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1580C14" w14:textId="77777777" w:rsidR="00767DD4" w:rsidRPr="00B740CB" w:rsidRDefault="00767DD4" w:rsidP="00457E32">
            <w:pPr>
              <w:spacing w:before="40" w:after="40"/>
              <w:rPr>
                <w:rFonts w:cs="Arial"/>
              </w:rPr>
            </w:pPr>
          </w:p>
        </w:tc>
      </w:tr>
      <w:tr w:rsidR="00767DD4" w:rsidRPr="00B740CB" w14:paraId="2417F4C8"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D7079B1" w14:textId="77777777" w:rsidR="00767DD4" w:rsidRPr="00B740CB" w:rsidRDefault="00767DD4" w:rsidP="00457E32">
            <w:pPr>
              <w:spacing w:before="40" w:after="40"/>
              <w:rPr>
                <w:rFonts w:cs="Arial"/>
              </w:rPr>
            </w:pPr>
            <w:r w:rsidRPr="00B740CB">
              <w:t>Format/catégorie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EF97C07" w14:textId="77777777" w:rsidR="00767DD4" w:rsidRPr="00B740CB" w:rsidRDefault="00767DD4" w:rsidP="00457E32">
            <w:pPr>
              <w:keepNext/>
              <w:keepLines/>
              <w:spacing w:before="40" w:after="40"/>
              <w:rPr>
                <w:rFonts w:cs="Arial"/>
              </w:rPr>
            </w:pPr>
          </w:p>
        </w:tc>
      </w:tr>
      <w:tr w:rsidR="00767DD4" w:rsidRPr="00B740CB" w14:paraId="0E9B58C3"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46166723" w14:textId="77777777" w:rsidR="00767DD4" w:rsidRPr="00B740CB" w:rsidRDefault="00767DD4" w:rsidP="002E7924">
            <w:pPr>
              <w:spacing w:before="40" w:after="40"/>
              <w:rPr>
                <w:rFonts w:cs="Arial"/>
              </w:rPr>
            </w:pPr>
            <w:r w:rsidRPr="00B740CB">
              <w:t xml:space="preserve">Veuillez indiquer si l’un des éléments de service </w:t>
            </w:r>
            <w:r w:rsidRPr="00B740CB">
              <w:br/>
              <w:t>ci-contre est compris dans le service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47F7252" w14:textId="77777777" w:rsidR="00767DD4" w:rsidRPr="00B740CB" w:rsidRDefault="00767DD4" w:rsidP="002E7924">
            <w:pPr>
              <w:spacing w:before="40" w:after="40"/>
              <w:rPr>
                <w:rFonts w:cs="Arial"/>
              </w:rPr>
            </w:pPr>
            <w:r w:rsidRPr="00B740CB">
              <w:t xml:space="preserve">Recommandation (remise contre signature </w:t>
            </w:r>
            <w:r w:rsidRPr="00B740CB">
              <w:br/>
              <w:t>et responsabilité)</w:t>
            </w:r>
          </w:p>
          <w:p w14:paraId="08518E02" w14:textId="77777777" w:rsidR="00B21635" w:rsidRPr="00B740CB" w:rsidRDefault="00B21635" w:rsidP="002E7924">
            <w:pPr>
              <w:spacing w:before="40" w:after="40"/>
              <w:ind w:left="319" w:hanging="319"/>
              <w:rPr>
                <w:rFonts w:cs="Arial"/>
              </w:rPr>
            </w:pPr>
            <w:r w:rsidRPr="00B740CB">
              <w:rPr>
                <w:sz w:val="24"/>
                <w:szCs w:val="24"/>
              </w:rPr>
              <w:sym w:font="Wingdings" w:char="F072"/>
            </w:r>
            <w:r w:rsidRPr="00B740CB">
              <w:tab/>
              <w:t>Oui</w:t>
            </w:r>
          </w:p>
          <w:p w14:paraId="3BC18A84" w14:textId="77777777" w:rsidR="00B21635" w:rsidRPr="00B740CB" w:rsidRDefault="00B21635" w:rsidP="002E7924">
            <w:pPr>
              <w:spacing w:before="40" w:after="40"/>
              <w:ind w:left="319" w:hanging="319"/>
              <w:rPr>
                <w:rFonts w:cs="Arial"/>
              </w:rPr>
            </w:pPr>
            <w:r w:rsidRPr="00B740CB">
              <w:rPr>
                <w:sz w:val="24"/>
                <w:szCs w:val="24"/>
              </w:rPr>
              <w:sym w:font="Wingdings" w:char="F072"/>
            </w:r>
            <w:r w:rsidRPr="00B740CB">
              <w:tab/>
              <w:t>Non</w:t>
            </w:r>
          </w:p>
          <w:p w14:paraId="0AEBAEBE" w14:textId="07C2DEE8" w:rsidR="00767DD4" w:rsidRPr="00B740CB" w:rsidRDefault="00767DD4" w:rsidP="002E7924">
            <w:pPr>
              <w:tabs>
                <w:tab w:val="left" w:pos="4294"/>
              </w:tabs>
              <w:spacing w:before="40" w:after="40"/>
              <w:rPr>
                <w:rFonts w:cs="Arial"/>
                <w:u w:val="single"/>
              </w:rPr>
            </w:pPr>
            <w:r w:rsidRPr="00B740CB">
              <w:t>Tarif intérieur supplémentaire, si disponible:</w:t>
            </w:r>
            <w:r w:rsidR="003B74B8" w:rsidRPr="00B740CB">
              <w:rPr>
                <w:rFonts w:cs="Arial"/>
                <w:vertAlign w:val="superscript"/>
              </w:rPr>
              <w:t>12</w:t>
            </w:r>
            <w:r w:rsidRPr="00B740CB">
              <w:br/>
            </w:r>
            <w:r w:rsidRPr="00B740CB">
              <w:rPr>
                <w:u w:val="single"/>
              </w:rPr>
              <w:tab/>
            </w:r>
          </w:p>
        </w:tc>
      </w:tr>
      <w:tr w:rsidR="00B21635" w:rsidRPr="00B740CB" w14:paraId="0BBC7F28"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78A8EAFB"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034B9D97" w14:textId="77777777" w:rsidR="00B21635" w:rsidRPr="00B740CB" w:rsidRDefault="00B21635" w:rsidP="00457E32">
            <w:pPr>
              <w:spacing w:before="40" w:after="40"/>
              <w:rPr>
                <w:rFonts w:cs="Arial"/>
              </w:rPr>
            </w:pPr>
            <w:r w:rsidRPr="00B740CB">
              <w:t>Assurance</w:t>
            </w:r>
          </w:p>
          <w:p w14:paraId="06E96DD2"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4426BB1A"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1CE4AC8E" w14:textId="72367343" w:rsidR="00B21635" w:rsidRPr="00B740CB" w:rsidRDefault="00B21635" w:rsidP="003B74B8">
            <w:pPr>
              <w:tabs>
                <w:tab w:val="left" w:pos="4353"/>
              </w:tabs>
              <w:spacing w:before="40" w:after="40"/>
              <w:rPr>
                <w:rFonts w:cs="Arial"/>
                <w:i/>
                <w:iCs/>
                <w:u w:val="single"/>
              </w:rPr>
            </w:pPr>
            <w:r w:rsidRPr="00B740CB">
              <w:t>Tarif intérieur supplémentaire, si disponible:</w:t>
            </w:r>
            <w:r w:rsidR="003B74B8" w:rsidRPr="00B740CB">
              <w:rPr>
                <w:vertAlign w:val="superscript"/>
              </w:rPr>
              <w:t>12</w:t>
            </w:r>
            <w:r w:rsidRPr="00B740CB">
              <w:br/>
            </w:r>
            <w:r w:rsidRPr="00B740CB">
              <w:rPr>
                <w:i/>
                <w:iCs/>
                <w:u w:val="single"/>
              </w:rPr>
              <w:tab/>
            </w:r>
          </w:p>
        </w:tc>
      </w:tr>
      <w:tr w:rsidR="00B21635" w:rsidRPr="00B740CB" w14:paraId="3BC0D56A"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5966E484"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B5984A0" w14:textId="77777777" w:rsidR="00B21635" w:rsidRPr="00B740CB" w:rsidRDefault="00B21635" w:rsidP="00B21635">
            <w:pPr>
              <w:spacing w:before="40" w:after="40"/>
              <w:rPr>
                <w:rFonts w:cs="Arial"/>
              </w:rPr>
            </w:pPr>
            <w:r w:rsidRPr="00B740CB">
              <w:t>Suivi</w:t>
            </w:r>
          </w:p>
          <w:p w14:paraId="1441E4D0"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3EF3CE9D"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2A4A28B7" w14:textId="77777777" w:rsidR="00B21635" w:rsidRPr="00B740CB" w:rsidRDefault="00B21635" w:rsidP="00F357D3">
            <w:pPr>
              <w:tabs>
                <w:tab w:val="left" w:pos="4288"/>
              </w:tabs>
              <w:spacing w:before="40" w:after="40"/>
              <w:rPr>
                <w:rFonts w:cs="Arial"/>
              </w:rPr>
            </w:pPr>
            <w:r w:rsidRPr="00B740CB">
              <w:t>Tarif intérieur supplémentaire, si disponible:</w:t>
            </w:r>
            <w:r w:rsidR="00F357D3" w:rsidRPr="00B740CB">
              <w:rPr>
                <w:rStyle w:val="Appelnotedebasdep"/>
              </w:rPr>
              <w:footnoteReference w:id="14"/>
            </w:r>
            <w:r w:rsidRPr="00B740CB">
              <w:br/>
            </w:r>
            <w:r w:rsidRPr="00B740CB">
              <w:rPr>
                <w:i/>
                <w:iCs/>
                <w:u w:val="single"/>
              </w:rPr>
              <w:tab/>
            </w:r>
          </w:p>
        </w:tc>
      </w:tr>
      <w:tr w:rsidR="00767DD4" w:rsidRPr="00B740CB" w14:paraId="3D1DDD3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FC817A6" w14:textId="77777777" w:rsidR="00767DD4" w:rsidRPr="00B740CB" w:rsidRDefault="00767DD4" w:rsidP="00457E32">
            <w:pPr>
              <w:spacing w:before="40" w:after="40"/>
              <w:rPr>
                <w:rFonts w:cs="Arial"/>
              </w:rPr>
            </w:pPr>
            <w:r w:rsidRPr="00B740CB">
              <w:t>Nom du produit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A403AD5" w14:textId="77777777" w:rsidR="00767DD4" w:rsidRPr="00B740CB" w:rsidRDefault="00767DD4" w:rsidP="00457E32">
            <w:pPr>
              <w:spacing w:before="40" w:after="40"/>
              <w:rPr>
                <w:rFonts w:cs="Arial"/>
              </w:rPr>
            </w:pPr>
          </w:p>
        </w:tc>
      </w:tr>
      <w:tr w:rsidR="00767DD4" w:rsidRPr="00B740CB" w14:paraId="492E991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C8BD8EF" w14:textId="77777777" w:rsidR="00767DD4" w:rsidRPr="00B740CB" w:rsidRDefault="00767DD4" w:rsidP="00457E32">
            <w:pPr>
              <w:spacing w:before="40" w:after="40"/>
              <w:rPr>
                <w:rFonts w:cs="Arial"/>
              </w:rPr>
            </w:pPr>
            <w:r w:rsidRPr="00B740CB">
              <w:t>Dimensions maximales: largeur–longueur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C0E3C5C" w14:textId="77777777" w:rsidR="00767DD4" w:rsidRPr="00B740CB" w:rsidRDefault="00767DD4" w:rsidP="00457E32">
            <w:pPr>
              <w:spacing w:before="40" w:after="40"/>
              <w:rPr>
                <w:rFonts w:cs="Arial"/>
              </w:rPr>
            </w:pPr>
          </w:p>
        </w:tc>
      </w:tr>
      <w:tr w:rsidR="00767DD4" w:rsidRPr="00B740CB" w14:paraId="01D7FAF2"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BB326ED" w14:textId="77777777" w:rsidR="00767DD4" w:rsidRPr="00B740CB" w:rsidRDefault="00767DD4" w:rsidP="00457E32">
            <w:pPr>
              <w:spacing w:before="40" w:after="40"/>
              <w:rPr>
                <w:rFonts w:cs="Arial"/>
              </w:rPr>
            </w:pPr>
            <w:r w:rsidRPr="00B740CB">
              <w:t>Épaisseur maximale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2E90E57" w14:textId="77777777" w:rsidR="00767DD4" w:rsidRPr="00B740CB" w:rsidRDefault="00767DD4" w:rsidP="00457E32">
            <w:pPr>
              <w:spacing w:before="40" w:after="40"/>
              <w:rPr>
                <w:rFonts w:cs="Arial"/>
              </w:rPr>
            </w:pPr>
          </w:p>
        </w:tc>
      </w:tr>
      <w:tr w:rsidR="00767DD4" w:rsidRPr="00B740CB" w14:paraId="56F435B7"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6471E72" w14:textId="77777777" w:rsidR="00767DD4" w:rsidRPr="00B740CB" w:rsidRDefault="00767DD4" w:rsidP="00457E32">
            <w:pPr>
              <w:spacing w:before="40" w:after="40"/>
              <w:rPr>
                <w:rFonts w:cs="Arial"/>
              </w:rPr>
            </w:pPr>
            <w:r w:rsidRPr="00B740CB">
              <w:t>Adresse du site Web sur lequel ces informations peuvent être consultées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167D21C" w14:textId="77777777" w:rsidR="00767DD4" w:rsidRPr="00B740CB" w:rsidRDefault="00767DD4" w:rsidP="00457E32">
            <w:pPr>
              <w:spacing w:before="40" w:after="40"/>
              <w:rPr>
                <w:rFonts w:cs="Arial"/>
              </w:rPr>
            </w:pPr>
          </w:p>
        </w:tc>
      </w:tr>
    </w:tbl>
    <w:p w14:paraId="71BD9A80" w14:textId="77777777" w:rsidR="00767DD4" w:rsidRPr="00B740CB" w:rsidRDefault="00767DD4" w:rsidP="00767DD4">
      <w:pPr>
        <w:jc w:val="both"/>
      </w:pPr>
    </w:p>
    <w:p w14:paraId="11DD055B" w14:textId="1225933D" w:rsidR="00767DD4" w:rsidRPr="00B740CB" w:rsidRDefault="00767DD4" w:rsidP="005B448A">
      <w:pPr>
        <w:pStyle w:val="0Textedebase"/>
        <w:rPr>
          <w:i/>
          <w:iCs/>
        </w:rPr>
      </w:pPr>
      <w:r w:rsidRPr="00B740CB">
        <w:rPr>
          <w:i/>
          <w:iCs/>
        </w:rPr>
        <w:t>Tableau 8 – Tarif intérieur pour un petit paquet (E) de la poste aux lettres prioritaire de 500 grammes dans le cadre du service intérieur, entrant en vigueur au 1</w:t>
      </w:r>
      <w:r w:rsidRPr="00B740CB">
        <w:rPr>
          <w:i/>
          <w:iCs/>
          <w:vertAlign w:val="superscript"/>
        </w:rPr>
        <w:t>er</w:t>
      </w:r>
      <w:r w:rsidR="00792EEC" w:rsidRPr="00B740CB">
        <w:rPr>
          <w:i/>
          <w:iCs/>
        </w:rPr>
        <w:t xml:space="preserve"> </w:t>
      </w:r>
      <w:r w:rsidR="002A3205" w:rsidRPr="00B740CB">
        <w:rPr>
          <w:i/>
          <w:iCs/>
        </w:rPr>
        <w:t xml:space="preserve">mai </w:t>
      </w:r>
      <w:r w:rsidR="00674F9B" w:rsidRPr="00B740CB">
        <w:rPr>
          <w:i/>
          <w:iCs/>
        </w:rPr>
        <w:t>2026</w:t>
      </w:r>
    </w:p>
    <w:p w14:paraId="67233A6A" w14:textId="77777777" w:rsidR="00767DD4" w:rsidRPr="00B740CB" w:rsidRDefault="00767DD4" w:rsidP="00767DD4">
      <w:pPr>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11C9FC60" w14:textId="77777777" w:rsidTr="002E7924">
        <w:trPr>
          <w:cantSplit/>
        </w:trPr>
        <w:tc>
          <w:tcPr>
            <w:tcW w:w="2646" w:type="pct"/>
            <w:shd w:val="clear" w:color="auto" w:fill="auto"/>
          </w:tcPr>
          <w:p w14:paraId="4D84E3DA" w14:textId="77777777" w:rsidR="00767DD4" w:rsidRPr="00B740CB" w:rsidRDefault="00767DD4" w:rsidP="00457E32">
            <w:pPr>
              <w:spacing w:before="40" w:after="40"/>
              <w:rPr>
                <w:rFonts w:cs="Arial"/>
              </w:rPr>
            </w:pPr>
            <w:r w:rsidRPr="00B740CB">
              <w:t xml:space="preserve">Taux si une tarification par zone ne s’applique pas </w:t>
            </w:r>
            <w:r w:rsidRPr="00B740CB">
              <w:br/>
              <w:t>(en monnaie locale)</w:t>
            </w:r>
          </w:p>
        </w:tc>
        <w:tc>
          <w:tcPr>
            <w:tcW w:w="2354" w:type="pct"/>
            <w:shd w:val="clear" w:color="auto" w:fill="auto"/>
          </w:tcPr>
          <w:p w14:paraId="7E25F8E2" w14:textId="77777777" w:rsidR="00767DD4" w:rsidRPr="00B740CB" w:rsidRDefault="00767DD4" w:rsidP="00457E32">
            <w:pPr>
              <w:spacing w:before="40" w:after="40"/>
              <w:rPr>
                <w:rFonts w:cs="Arial"/>
              </w:rPr>
            </w:pPr>
          </w:p>
        </w:tc>
      </w:tr>
      <w:tr w:rsidR="00767DD4" w:rsidRPr="00B740CB" w14:paraId="2CFB5B8D" w14:textId="77777777" w:rsidTr="002E7924">
        <w:trPr>
          <w:cantSplit/>
        </w:trPr>
        <w:tc>
          <w:tcPr>
            <w:tcW w:w="2646" w:type="pct"/>
            <w:shd w:val="clear" w:color="auto" w:fill="auto"/>
          </w:tcPr>
          <w:p w14:paraId="0CE3B589" w14:textId="1F3315A5" w:rsidR="00767DD4" w:rsidRPr="00B740CB" w:rsidRDefault="00767DD4" w:rsidP="00457E32">
            <w:pPr>
              <w:spacing w:before="40" w:after="40"/>
              <w:rPr>
                <w:rFonts w:cs="Arial"/>
              </w:rPr>
            </w:pPr>
            <w:r w:rsidRPr="00B740CB">
              <w:t>Taux si une tarification par zone s’applique</w:t>
            </w:r>
            <w:r w:rsidR="00674F9B" w:rsidRPr="00B740CB">
              <w:t xml:space="preserve"> (en monnaie locale)</w:t>
            </w:r>
          </w:p>
        </w:tc>
        <w:tc>
          <w:tcPr>
            <w:tcW w:w="2354" w:type="pct"/>
            <w:shd w:val="clear" w:color="auto" w:fill="auto"/>
          </w:tcPr>
          <w:p w14:paraId="16B80743" w14:textId="77777777" w:rsidR="00767DD4" w:rsidRPr="00B740CB" w:rsidRDefault="00767DD4" w:rsidP="00457E32">
            <w:pPr>
              <w:spacing w:before="40" w:after="40"/>
              <w:rPr>
                <w:rFonts w:cs="Arial"/>
              </w:rPr>
            </w:pPr>
          </w:p>
        </w:tc>
      </w:tr>
      <w:tr w:rsidR="00767DD4" w:rsidRPr="00B740CB" w14:paraId="4E63311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1F3EB44" w14:textId="77777777" w:rsidR="00767DD4" w:rsidRPr="00B740CB" w:rsidRDefault="00767DD4" w:rsidP="00457E32">
            <w:pPr>
              <w:spacing w:before="40" w:after="40"/>
              <w:rPr>
                <w:rFonts w:cs="Arial"/>
              </w:rPr>
            </w:pPr>
            <w:r w:rsidRPr="00B740CB">
              <w:lastRenderedPageBreak/>
              <w:t>Si une tarification par zone s’applique, veuillez indiquer la méthode utilisée pour déterminer cette tarification:</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5956EA3" w14:textId="4BBF2BA4" w:rsidR="00767DD4" w:rsidRPr="00B740CB" w:rsidRDefault="00767DD4" w:rsidP="00B21635">
            <w:pPr>
              <w:spacing w:before="40" w:after="40"/>
              <w:ind w:left="319" w:hanging="319"/>
              <w:rPr>
                <w:rFonts w:cs="Arial"/>
              </w:rPr>
            </w:pPr>
            <w:r w:rsidRPr="00B740CB">
              <w:rPr>
                <w:sz w:val="24"/>
                <w:szCs w:val="24"/>
              </w:rPr>
              <w:sym w:font="Wingdings" w:char="F072"/>
            </w:r>
            <w:r w:rsidRPr="00B740CB">
              <w:rPr>
                <w:sz w:val="24"/>
                <w:szCs w:val="24"/>
              </w:rPr>
              <w:tab/>
            </w:r>
            <w:r w:rsidRPr="00B740CB">
              <w:t>La tarification par zone indiquée ci-dessus correspond à la distance moyenne réelle pondérée parcourue par les petits paquets (E) de la poste aux lettres</w:t>
            </w:r>
            <w:r w:rsidRPr="00B740CB">
              <w:rPr>
                <w:rStyle w:val="Appelnotedebasdep"/>
                <w:rFonts w:cs="Arial"/>
              </w:rPr>
              <w:footnoteReference w:id="15"/>
            </w:r>
          </w:p>
          <w:p w14:paraId="07792A94" w14:textId="77777777" w:rsidR="00767DD4" w:rsidRPr="00B740CB" w:rsidRDefault="00767DD4" w:rsidP="00B21635">
            <w:pPr>
              <w:spacing w:before="40" w:after="40"/>
              <w:ind w:left="319" w:hanging="319"/>
              <w:rPr>
                <w:rFonts w:cs="Arial"/>
              </w:rPr>
            </w:pPr>
            <w:r w:rsidRPr="00B740CB">
              <w:rPr>
                <w:sz w:val="24"/>
                <w:szCs w:val="24"/>
              </w:rPr>
              <w:sym w:font="Wingdings" w:char="F072"/>
            </w:r>
            <w:r w:rsidRPr="00B740CB">
              <w:tab/>
              <w:t>La tarification par zone correspond au tarif médian du système de tarifs intérieurs par zone</w:t>
            </w:r>
          </w:p>
        </w:tc>
      </w:tr>
      <w:tr w:rsidR="00767DD4" w:rsidRPr="00B740CB" w14:paraId="27E5515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E5F9B45" w14:textId="77777777" w:rsidR="00767DD4" w:rsidRPr="00B740CB" w:rsidRDefault="00767DD4" w:rsidP="00457E32">
            <w:pPr>
              <w:spacing w:before="40" w:after="40"/>
              <w:rPr>
                <w:rFonts w:cs="Arial"/>
              </w:rPr>
            </w:pPr>
            <w:r w:rsidRPr="00B740CB">
              <w:t>Taux de TVA ou autres taxes incluses dans le tarif</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4D48454" w14:textId="77777777" w:rsidR="00767DD4" w:rsidRPr="00B740CB" w:rsidRDefault="00767DD4" w:rsidP="00457E32">
            <w:pPr>
              <w:spacing w:before="40" w:after="40"/>
              <w:rPr>
                <w:rFonts w:cs="Arial"/>
              </w:rPr>
            </w:pPr>
          </w:p>
        </w:tc>
      </w:tr>
      <w:tr w:rsidR="00767DD4" w:rsidRPr="00B740CB" w14:paraId="0958B5E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36DA995" w14:textId="77777777" w:rsidR="00767DD4" w:rsidRPr="00B740CB" w:rsidRDefault="00767DD4" w:rsidP="00457E32">
            <w:pPr>
              <w:spacing w:before="40" w:after="40"/>
              <w:rPr>
                <w:rFonts w:cs="Arial"/>
              </w:rPr>
            </w:pPr>
            <w:r w:rsidRPr="00B740CB">
              <w:t>Format/catégorie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10F7718" w14:textId="77777777" w:rsidR="00767DD4" w:rsidRPr="00B740CB" w:rsidRDefault="00767DD4" w:rsidP="00457E32">
            <w:pPr>
              <w:keepNext/>
              <w:keepLines/>
              <w:spacing w:before="40" w:after="40"/>
              <w:rPr>
                <w:rFonts w:cs="Arial"/>
              </w:rPr>
            </w:pPr>
          </w:p>
        </w:tc>
      </w:tr>
      <w:tr w:rsidR="00767DD4" w:rsidRPr="00B740CB" w14:paraId="1FD03C19"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2B462A44" w14:textId="77777777" w:rsidR="00767DD4" w:rsidRPr="00B740CB" w:rsidRDefault="00767DD4" w:rsidP="002E7924">
            <w:pPr>
              <w:spacing w:before="40" w:after="40"/>
              <w:rPr>
                <w:rFonts w:cs="Arial"/>
              </w:rPr>
            </w:pPr>
            <w:r w:rsidRPr="00B740CB">
              <w:t xml:space="preserve">Veuillez indiquer si l’un des éléments de service </w:t>
            </w:r>
            <w:r w:rsidRPr="00B740CB">
              <w:br/>
              <w:t>ci-contre est compris dans le service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DD04F04" w14:textId="77777777" w:rsidR="00767DD4" w:rsidRPr="00B740CB" w:rsidRDefault="00767DD4" w:rsidP="00457E32">
            <w:pPr>
              <w:spacing w:before="40" w:after="40"/>
              <w:rPr>
                <w:rFonts w:cs="Arial"/>
              </w:rPr>
            </w:pPr>
            <w:r w:rsidRPr="00B740CB">
              <w:t xml:space="preserve">Recommandation (remise contre signature </w:t>
            </w:r>
            <w:r w:rsidRPr="00B740CB">
              <w:br/>
              <w:t>et responsabilité)</w:t>
            </w:r>
          </w:p>
          <w:p w14:paraId="7B741DE6"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30ABEB67"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4E72A928" w14:textId="0D40C302" w:rsidR="00767DD4" w:rsidRPr="00B740CB" w:rsidRDefault="00767DD4" w:rsidP="003B74B8">
            <w:pPr>
              <w:tabs>
                <w:tab w:val="left" w:pos="4294"/>
              </w:tabs>
              <w:spacing w:before="40" w:after="40"/>
              <w:rPr>
                <w:rFonts w:cs="Arial"/>
                <w:u w:val="single"/>
              </w:rPr>
            </w:pPr>
            <w:r w:rsidRPr="00B740CB">
              <w:t>Tarif intérieur supplémentaire, si disponible:</w:t>
            </w:r>
            <w:r w:rsidR="003B74B8" w:rsidRPr="00B740CB">
              <w:rPr>
                <w:vertAlign w:val="superscript"/>
              </w:rPr>
              <w:t>14</w:t>
            </w:r>
            <w:r w:rsidRPr="00B740CB">
              <w:br/>
            </w:r>
            <w:r w:rsidRPr="00B740CB">
              <w:rPr>
                <w:u w:val="single"/>
              </w:rPr>
              <w:tab/>
            </w:r>
          </w:p>
        </w:tc>
      </w:tr>
      <w:tr w:rsidR="00B21635" w:rsidRPr="00B740CB" w14:paraId="630633A3"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129E5963"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5FD7D752" w14:textId="77777777" w:rsidR="00B21635" w:rsidRPr="00B740CB" w:rsidRDefault="00B21635" w:rsidP="00457E32">
            <w:pPr>
              <w:spacing w:before="40" w:after="40"/>
              <w:rPr>
                <w:rFonts w:cs="Arial"/>
              </w:rPr>
            </w:pPr>
            <w:r w:rsidRPr="00B740CB">
              <w:t>Assurance</w:t>
            </w:r>
          </w:p>
          <w:p w14:paraId="766C5301"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34B954FC"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44FE18B2" w14:textId="5ED138FF" w:rsidR="00B21635" w:rsidRPr="00B740CB" w:rsidRDefault="00B21635" w:rsidP="003B74B8">
            <w:pPr>
              <w:tabs>
                <w:tab w:val="left" w:pos="4353"/>
              </w:tabs>
              <w:spacing w:before="40" w:after="40"/>
              <w:rPr>
                <w:rFonts w:cs="Arial"/>
                <w:i/>
                <w:iCs/>
                <w:u w:val="single"/>
              </w:rPr>
            </w:pPr>
            <w:r w:rsidRPr="00B740CB">
              <w:t>Tarif intérieur supplémentaire, si disponible:</w:t>
            </w:r>
            <w:r w:rsidR="003B74B8" w:rsidRPr="00B740CB">
              <w:rPr>
                <w:vertAlign w:val="superscript"/>
              </w:rPr>
              <w:t>14</w:t>
            </w:r>
            <w:r w:rsidRPr="00B740CB">
              <w:br/>
            </w:r>
            <w:r w:rsidRPr="00B740CB">
              <w:rPr>
                <w:i/>
                <w:iCs/>
                <w:u w:val="single"/>
              </w:rPr>
              <w:tab/>
            </w:r>
          </w:p>
        </w:tc>
      </w:tr>
      <w:tr w:rsidR="00B21635" w:rsidRPr="00B740CB" w14:paraId="4C5C2B23"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7FF7DF49"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33DE303" w14:textId="77777777" w:rsidR="00B21635" w:rsidRPr="00B740CB" w:rsidRDefault="00B21635" w:rsidP="00B21635">
            <w:pPr>
              <w:spacing w:before="40" w:after="40"/>
              <w:rPr>
                <w:rFonts w:cs="Arial"/>
              </w:rPr>
            </w:pPr>
            <w:r w:rsidRPr="00B740CB">
              <w:t>Suivi</w:t>
            </w:r>
          </w:p>
          <w:p w14:paraId="583ACEB8"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63194082"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5ACCA8FF" w14:textId="77777777" w:rsidR="00B21635" w:rsidRPr="00B740CB" w:rsidRDefault="00B21635" w:rsidP="00F357D3">
            <w:pPr>
              <w:tabs>
                <w:tab w:val="left" w:pos="4322"/>
              </w:tabs>
              <w:spacing w:before="40" w:after="40"/>
              <w:rPr>
                <w:rFonts w:cs="Arial"/>
              </w:rPr>
            </w:pPr>
            <w:r w:rsidRPr="00B740CB">
              <w:t>Tarif intérieur supplémentaire, si disponible:</w:t>
            </w:r>
            <w:r w:rsidR="00F357D3" w:rsidRPr="00B740CB">
              <w:rPr>
                <w:rStyle w:val="Appelnotedebasdep"/>
              </w:rPr>
              <w:footnoteReference w:id="16"/>
            </w:r>
            <w:r w:rsidRPr="00B740CB">
              <w:br/>
            </w:r>
            <w:r w:rsidRPr="00B740CB">
              <w:rPr>
                <w:i/>
                <w:iCs/>
                <w:u w:val="single"/>
              </w:rPr>
              <w:tab/>
            </w:r>
          </w:p>
        </w:tc>
      </w:tr>
      <w:tr w:rsidR="00767DD4" w:rsidRPr="00B740CB" w14:paraId="755060BE"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6EFC2F2" w14:textId="77777777" w:rsidR="00767DD4" w:rsidRPr="00B740CB" w:rsidRDefault="00767DD4" w:rsidP="00457E32">
            <w:pPr>
              <w:spacing w:before="40" w:after="40"/>
              <w:rPr>
                <w:rFonts w:cs="Arial"/>
              </w:rPr>
            </w:pPr>
            <w:r w:rsidRPr="00B740CB">
              <w:t>Nom du produit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716809A" w14:textId="77777777" w:rsidR="00767DD4" w:rsidRPr="00B740CB" w:rsidRDefault="00767DD4" w:rsidP="00457E32">
            <w:pPr>
              <w:spacing w:before="40" w:after="40"/>
              <w:rPr>
                <w:rFonts w:cs="Arial"/>
              </w:rPr>
            </w:pPr>
          </w:p>
        </w:tc>
      </w:tr>
      <w:tr w:rsidR="00767DD4" w:rsidRPr="00B740CB" w14:paraId="0733760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7776C97" w14:textId="77777777" w:rsidR="00767DD4" w:rsidRPr="00B740CB" w:rsidRDefault="00767DD4" w:rsidP="00457E32">
            <w:pPr>
              <w:spacing w:before="40" w:after="40"/>
              <w:rPr>
                <w:rFonts w:cs="Arial"/>
              </w:rPr>
            </w:pPr>
            <w:r w:rsidRPr="00B740CB">
              <w:t>Dimensions maximales: largeur–longueur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B8DBA5D" w14:textId="77777777" w:rsidR="00767DD4" w:rsidRPr="00B740CB" w:rsidRDefault="00767DD4" w:rsidP="00457E32">
            <w:pPr>
              <w:spacing w:before="40" w:after="40"/>
              <w:rPr>
                <w:rFonts w:cs="Arial"/>
              </w:rPr>
            </w:pPr>
          </w:p>
        </w:tc>
      </w:tr>
      <w:tr w:rsidR="00767DD4" w:rsidRPr="00B740CB" w14:paraId="15D7B6FE"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C42AD59" w14:textId="77777777" w:rsidR="00767DD4" w:rsidRPr="00B740CB" w:rsidRDefault="00767DD4" w:rsidP="00457E32">
            <w:pPr>
              <w:spacing w:before="40" w:after="40"/>
              <w:rPr>
                <w:rFonts w:cs="Arial"/>
              </w:rPr>
            </w:pPr>
            <w:r w:rsidRPr="00B740CB">
              <w:t>Épaisseur maximale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50116E3" w14:textId="77777777" w:rsidR="00767DD4" w:rsidRPr="00B740CB" w:rsidRDefault="00767DD4" w:rsidP="00457E32">
            <w:pPr>
              <w:spacing w:before="40" w:after="40"/>
              <w:rPr>
                <w:rFonts w:cs="Arial"/>
              </w:rPr>
            </w:pPr>
          </w:p>
        </w:tc>
      </w:tr>
      <w:tr w:rsidR="00767DD4" w:rsidRPr="00B740CB" w14:paraId="5F0F1EF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B0F969E" w14:textId="77777777" w:rsidR="00767DD4" w:rsidRPr="00B740CB" w:rsidRDefault="00767DD4" w:rsidP="00457E32">
            <w:pPr>
              <w:spacing w:before="40" w:after="40"/>
              <w:rPr>
                <w:rFonts w:cs="Arial"/>
              </w:rPr>
            </w:pPr>
            <w:r w:rsidRPr="00B740CB">
              <w:t>Adresse du site Web sur lequel ces informations peuvent être consultées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01209CF" w14:textId="77777777" w:rsidR="00767DD4" w:rsidRPr="00B740CB" w:rsidRDefault="00767DD4" w:rsidP="00457E32">
            <w:pPr>
              <w:spacing w:before="40" w:after="40"/>
              <w:rPr>
                <w:rFonts w:cs="Arial"/>
              </w:rPr>
            </w:pPr>
          </w:p>
        </w:tc>
      </w:tr>
    </w:tbl>
    <w:p w14:paraId="6222EE19" w14:textId="77777777" w:rsidR="00767DD4" w:rsidRPr="00B740CB" w:rsidRDefault="00767DD4" w:rsidP="00767DD4">
      <w:pPr>
        <w:jc w:val="both"/>
      </w:pPr>
    </w:p>
    <w:p w14:paraId="71151A28" w14:textId="5D641E16" w:rsidR="00767DD4" w:rsidRPr="00B740CB" w:rsidRDefault="00767DD4" w:rsidP="005B448A">
      <w:pPr>
        <w:pStyle w:val="0Textedebase"/>
        <w:rPr>
          <w:i/>
          <w:iCs/>
        </w:rPr>
      </w:pPr>
      <w:r w:rsidRPr="00B740CB">
        <w:rPr>
          <w:i/>
          <w:iCs/>
        </w:rPr>
        <w:t>Tableau 9 – Tarif intérieur pour un petit paquet (E) de la poste aux lettres prioritaire de 750 grammes dans le cadre du service intérieur, entrant en vigueur au 1</w:t>
      </w:r>
      <w:r w:rsidRPr="00B740CB">
        <w:rPr>
          <w:i/>
          <w:iCs/>
          <w:vertAlign w:val="superscript"/>
        </w:rPr>
        <w:t>er</w:t>
      </w:r>
      <w:r w:rsidRPr="00B740CB">
        <w:rPr>
          <w:i/>
          <w:iCs/>
        </w:rPr>
        <w:t xml:space="preserve"> </w:t>
      </w:r>
      <w:r w:rsidR="00DC3810" w:rsidRPr="00B740CB">
        <w:rPr>
          <w:i/>
          <w:iCs/>
        </w:rPr>
        <w:t xml:space="preserve">mai </w:t>
      </w:r>
      <w:r w:rsidR="00674F9B" w:rsidRPr="00B740CB">
        <w:rPr>
          <w:i/>
          <w:iCs/>
        </w:rPr>
        <w:t>2026</w:t>
      </w:r>
    </w:p>
    <w:p w14:paraId="51997202" w14:textId="77777777" w:rsidR="00767DD4" w:rsidRPr="00B740CB" w:rsidRDefault="00767DD4" w:rsidP="00767DD4">
      <w:pPr>
        <w:pStyle w:val="0Textedebase"/>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4144A2B8" w14:textId="77777777" w:rsidTr="002E7924">
        <w:trPr>
          <w:cantSplit/>
        </w:trPr>
        <w:tc>
          <w:tcPr>
            <w:tcW w:w="2646" w:type="pct"/>
            <w:shd w:val="clear" w:color="auto" w:fill="auto"/>
          </w:tcPr>
          <w:p w14:paraId="06B78BC6" w14:textId="77777777" w:rsidR="00767DD4" w:rsidRPr="00B740CB" w:rsidRDefault="00767DD4" w:rsidP="00457E32">
            <w:pPr>
              <w:spacing w:before="40" w:after="40"/>
              <w:rPr>
                <w:rFonts w:cs="Arial"/>
              </w:rPr>
            </w:pPr>
            <w:r w:rsidRPr="00B740CB">
              <w:t xml:space="preserve">Taux si une tarification par zone ne s’applique pas </w:t>
            </w:r>
            <w:r w:rsidRPr="00B740CB">
              <w:br/>
              <w:t>(en monnaie locale)</w:t>
            </w:r>
          </w:p>
        </w:tc>
        <w:tc>
          <w:tcPr>
            <w:tcW w:w="2354" w:type="pct"/>
            <w:shd w:val="clear" w:color="auto" w:fill="auto"/>
          </w:tcPr>
          <w:p w14:paraId="4A79E4A0" w14:textId="77777777" w:rsidR="00767DD4" w:rsidRPr="00B740CB" w:rsidRDefault="00767DD4" w:rsidP="00457E32">
            <w:pPr>
              <w:spacing w:before="40" w:after="40"/>
              <w:rPr>
                <w:rFonts w:cs="Arial"/>
              </w:rPr>
            </w:pPr>
          </w:p>
        </w:tc>
      </w:tr>
      <w:tr w:rsidR="00767DD4" w:rsidRPr="00B740CB" w14:paraId="5D748D3B" w14:textId="77777777" w:rsidTr="002E7924">
        <w:trPr>
          <w:cantSplit/>
        </w:trPr>
        <w:tc>
          <w:tcPr>
            <w:tcW w:w="2646" w:type="pct"/>
            <w:shd w:val="clear" w:color="auto" w:fill="auto"/>
          </w:tcPr>
          <w:p w14:paraId="01234976" w14:textId="2B156C0D" w:rsidR="00767DD4" w:rsidRPr="00B740CB" w:rsidRDefault="00767DD4" w:rsidP="00457E32">
            <w:pPr>
              <w:spacing w:before="40" w:after="40"/>
              <w:rPr>
                <w:rFonts w:cs="Arial"/>
              </w:rPr>
            </w:pPr>
            <w:r w:rsidRPr="00B740CB">
              <w:t>Taux si une tarification par zone s’applique</w:t>
            </w:r>
            <w:r w:rsidR="00674F9B" w:rsidRPr="00B740CB">
              <w:t xml:space="preserve"> (en monnaie locale)</w:t>
            </w:r>
          </w:p>
        </w:tc>
        <w:tc>
          <w:tcPr>
            <w:tcW w:w="2354" w:type="pct"/>
            <w:shd w:val="clear" w:color="auto" w:fill="auto"/>
          </w:tcPr>
          <w:p w14:paraId="41C5D476" w14:textId="77777777" w:rsidR="00767DD4" w:rsidRPr="00B740CB" w:rsidRDefault="00767DD4" w:rsidP="00457E32">
            <w:pPr>
              <w:spacing w:before="40" w:after="40"/>
              <w:rPr>
                <w:rFonts w:cs="Arial"/>
              </w:rPr>
            </w:pPr>
          </w:p>
        </w:tc>
      </w:tr>
      <w:tr w:rsidR="00767DD4" w:rsidRPr="00B740CB" w14:paraId="0289B060"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B5AF7FC" w14:textId="77777777" w:rsidR="00767DD4" w:rsidRPr="00B740CB" w:rsidRDefault="00767DD4" w:rsidP="00457E32">
            <w:pPr>
              <w:spacing w:before="40" w:after="40"/>
              <w:rPr>
                <w:rFonts w:cs="Arial"/>
              </w:rPr>
            </w:pPr>
            <w:r w:rsidRPr="00B740CB">
              <w:lastRenderedPageBreak/>
              <w:t>Si une tarification par zone s’applique, veuillez indiquer la méthode utilisée pour déterminer cette tarification:</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BE8596F" w14:textId="4D7EF14A" w:rsidR="00767DD4" w:rsidRPr="00B740CB" w:rsidRDefault="00767DD4" w:rsidP="00B21635">
            <w:pPr>
              <w:spacing w:before="40" w:after="40"/>
              <w:ind w:left="319" w:hanging="319"/>
              <w:rPr>
                <w:rFonts w:cs="Arial"/>
              </w:rPr>
            </w:pPr>
            <w:r w:rsidRPr="00B740CB">
              <w:rPr>
                <w:sz w:val="24"/>
                <w:szCs w:val="24"/>
              </w:rPr>
              <w:sym w:font="Wingdings" w:char="F072"/>
            </w:r>
            <w:r w:rsidRPr="00B740CB">
              <w:rPr>
                <w:sz w:val="24"/>
                <w:szCs w:val="24"/>
              </w:rPr>
              <w:tab/>
            </w:r>
            <w:r w:rsidRPr="00B740CB">
              <w:t>La tarification par zone indiquée ci-dessus correspond à la distance moyenne réelle pondérée parcourue par les petits paquets (E) de la poste aux lettres</w:t>
            </w:r>
            <w:r w:rsidRPr="00B740CB">
              <w:rPr>
                <w:rStyle w:val="Appelnotedebasdep"/>
                <w:rFonts w:cs="Arial"/>
              </w:rPr>
              <w:footnoteReference w:id="17"/>
            </w:r>
          </w:p>
          <w:p w14:paraId="6139D412" w14:textId="77777777" w:rsidR="00767DD4" w:rsidRPr="00B740CB" w:rsidRDefault="00767DD4" w:rsidP="00B21635">
            <w:pPr>
              <w:spacing w:before="40" w:after="40"/>
              <w:ind w:left="319" w:hanging="319"/>
              <w:rPr>
                <w:rFonts w:cs="Arial"/>
              </w:rPr>
            </w:pPr>
            <w:r w:rsidRPr="00B740CB">
              <w:rPr>
                <w:sz w:val="24"/>
                <w:szCs w:val="24"/>
              </w:rPr>
              <w:sym w:font="Wingdings" w:char="F072"/>
            </w:r>
            <w:r w:rsidRPr="00B740CB">
              <w:tab/>
              <w:t>La tarification par zone correspond au tarif médian du système de tarifs intérieurs par zone</w:t>
            </w:r>
          </w:p>
        </w:tc>
      </w:tr>
      <w:tr w:rsidR="00767DD4" w:rsidRPr="00B740CB" w14:paraId="67E5B327"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74013AF" w14:textId="77777777" w:rsidR="00767DD4" w:rsidRPr="00B740CB" w:rsidRDefault="00767DD4" w:rsidP="00457E32">
            <w:pPr>
              <w:spacing w:before="40" w:after="40"/>
              <w:rPr>
                <w:rFonts w:cs="Arial"/>
              </w:rPr>
            </w:pPr>
            <w:r w:rsidRPr="00B740CB">
              <w:t>Taux de TVA ou autres taxes incluses dans le tarif</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0402559" w14:textId="77777777" w:rsidR="00767DD4" w:rsidRPr="00B740CB" w:rsidRDefault="00767DD4" w:rsidP="00457E32">
            <w:pPr>
              <w:spacing w:before="40" w:after="40"/>
              <w:rPr>
                <w:rFonts w:cs="Arial"/>
              </w:rPr>
            </w:pPr>
          </w:p>
        </w:tc>
      </w:tr>
      <w:tr w:rsidR="00767DD4" w:rsidRPr="00B740CB" w14:paraId="30A95C2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216C7B1" w14:textId="77777777" w:rsidR="00767DD4" w:rsidRPr="00B740CB" w:rsidRDefault="00767DD4" w:rsidP="00457E32">
            <w:pPr>
              <w:spacing w:before="40" w:after="40"/>
              <w:rPr>
                <w:rFonts w:cs="Arial"/>
              </w:rPr>
            </w:pPr>
            <w:r w:rsidRPr="00B740CB">
              <w:t>Format/catégorie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EF7BA0C" w14:textId="77777777" w:rsidR="00767DD4" w:rsidRPr="00B740CB" w:rsidRDefault="00767DD4" w:rsidP="00457E32">
            <w:pPr>
              <w:keepNext/>
              <w:keepLines/>
              <w:spacing w:before="40" w:after="40"/>
              <w:rPr>
                <w:rFonts w:cs="Arial"/>
              </w:rPr>
            </w:pPr>
          </w:p>
        </w:tc>
      </w:tr>
      <w:tr w:rsidR="00767DD4" w:rsidRPr="00B740CB" w14:paraId="566922AD"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6C419032" w14:textId="77777777" w:rsidR="00767DD4" w:rsidRPr="00B740CB" w:rsidRDefault="00767DD4" w:rsidP="002E7924">
            <w:pPr>
              <w:spacing w:before="40" w:after="40"/>
              <w:rPr>
                <w:rFonts w:cs="Arial"/>
              </w:rPr>
            </w:pPr>
            <w:r w:rsidRPr="00B740CB">
              <w:t>Veuillez indiquer si l’un des éléments de service ci-contre est compris dans le service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A45BF4F" w14:textId="77777777" w:rsidR="00767DD4" w:rsidRPr="00B740CB" w:rsidRDefault="00767DD4" w:rsidP="00457E32">
            <w:pPr>
              <w:spacing w:before="40" w:after="40"/>
              <w:rPr>
                <w:rFonts w:cs="Arial"/>
              </w:rPr>
            </w:pPr>
            <w:r w:rsidRPr="00B740CB">
              <w:t xml:space="preserve">Recommandation (remise contre signature </w:t>
            </w:r>
            <w:r w:rsidRPr="00B740CB">
              <w:br/>
              <w:t>et responsabilité)</w:t>
            </w:r>
          </w:p>
          <w:p w14:paraId="50C8F7F7"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48DD9665"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77DF8E75" w14:textId="6C23E1D2" w:rsidR="00767DD4" w:rsidRPr="00B740CB" w:rsidRDefault="00767DD4" w:rsidP="003B74B8">
            <w:pPr>
              <w:tabs>
                <w:tab w:val="left" w:pos="4294"/>
              </w:tabs>
              <w:spacing w:before="40" w:after="40"/>
              <w:rPr>
                <w:rFonts w:cs="Arial"/>
                <w:u w:val="single"/>
              </w:rPr>
            </w:pPr>
            <w:r w:rsidRPr="00B740CB">
              <w:t>Tarif intérieur supplémentaire, si disponible:</w:t>
            </w:r>
            <w:r w:rsidR="003B74B8" w:rsidRPr="00B740CB">
              <w:rPr>
                <w:vertAlign w:val="superscript"/>
              </w:rPr>
              <w:t>16</w:t>
            </w:r>
            <w:r w:rsidRPr="00B740CB">
              <w:br/>
            </w:r>
            <w:r w:rsidRPr="00B740CB">
              <w:rPr>
                <w:u w:val="single"/>
              </w:rPr>
              <w:tab/>
            </w:r>
          </w:p>
        </w:tc>
      </w:tr>
      <w:tr w:rsidR="00B21635" w:rsidRPr="00B740CB" w14:paraId="305EE02F"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1A643093" w14:textId="77777777" w:rsidR="00B21635" w:rsidRPr="00B740CB" w:rsidRDefault="00B21635"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10A83632" w14:textId="77777777" w:rsidR="00B21635" w:rsidRPr="00B740CB" w:rsidRDefault="00B21635" w:rsidP="00457E32">
            <w:pPr>
              <w:spacing w:before="40" w:after="40"/>
              <w:rPr>
                <w:rFonts w:cs="Arial"/>
              </w:rPr>
            </w:pPr>
            <w:r w:rsidRPr="00B740CB">
              <w:t>Assurance</w:t>
            </w:r>
          </w:p>
          <w:p w14:paraId="2033D7E2"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7FEDCA05"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606C289C" w14:textId="19CCBD2C" w:rsidR="00B21635" w:rsidRPr="00B740CB" w:rsidRDefault="00B21635" w:rsidP="003B74B8">
            <w:pPr>
              <w:tabs>
                <w:tab w:val="left" w:pos="4353"/>
              </w:tabs>
              <w:spacing w:before="40" w:after="40"/>
              <w:rPr>
                <w:rFonts w:cs="Arial"/>
                <w:i/>
                <w:iCs/>
                <w:u w:val="single"/>
              </w:rPr>
            </w:pPr>
            <w:r w:rsidRPr="00B740CB">
              <w:t>Tarif intérieur supplémentaire, si disponible:</w:t>
            </w:r>
            <w:r w:rsidR="003B74B8" w:rsidRPr="00B740CB">
              <w:rPr>
                <w:vertAlign w:val="superscript"/>
              </w:rPr>
              <w:t>16</w:t>
            </w:r>
            <w:r w:rsidRPr="00B740CB">
              <w:br/>
            </w:r>
            <w:r w:rsidRPr="00B740CB">
              <w:rPr>
                <w:i/>
                <w:iCs/>
                <w:u w:val="single"/>
              </w:rPr>
              <w:tab/>
            </w:r>
          </w:p>
        </w:tc>
      </w:tr>
      <w:tr w:rsidR="00B21635" w:rsidRPr="00B740CB" w14:paraId="687C0CB3"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42CB3A0C" w14:textId="77777777" w:rsidR="00B21635" w:rsidRPr="00B740CB" w:rsidRDefault="00B21635"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97EC970" w14:textId="77777777" w:rsidR="00B21635" w:rsidRPr="00B740CB" w:rsidRDefault="00B21635" w:rsidP="00B21635">
            <w:pPr>
              <w:spacing w:before="40" w:after="40"/>
              <w:rPr>
                <w:rFonts w:cs="Arial"/>
              </w:rPr>
            </w:pPr>
            <w:r w:rsidRPr="00B740CB">
              <w:t>Suivi</w:t>
            </w:r>
          </w:p>
          <w:p w14:paraId="60027074"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Oui</w:t>
            </w:r>
          </w:p>
          <w:p w14:paraId="58A0F6C5" w14:textId="77777777" w:rsidR="00B21635" w:rsidRPr="00B740CB" w:rsidRDefault="00B21635" w:rsidP="00B21635">
            <w:pPr>
              <w:spacing w:before="40" w:after="40"/>
              <w:ind w:left="319" w:hanging="319"/>
              <w:rPr>
                <w:rFonts w:cs="Arial"/>
              </w:rPr>
            </w:pPr>
            <w:r w:rsidRPr="00B740CB">
              <w:rPr>
                <w:sz w:val="24"/>
                <w:szCs w:val="24"/>
              </w:rPr>
              <w:sym w:font="Wingdings" w:char="F072"/>
            </w:r>
            <w:r w:rsidRPr="00B740CB">
              <w:tab/>
              <w:t>Non</w:t>
            </w:r>
          </w:p>
          <w:p w14:paraId="3227BB3C" w14:textId="77777777" w:rsidR="00B21635" w:rsidRPr="00B740CB" w:rsidRDefault="00B21635" w:rsidP="00F357D3">
            <w:pPr>
              <w:tabs>
                <w:tab w:val="left" w:pos="4322"/>
              </w:tabs>
              <w:spacing w:before="40" w:after="40"/>
              <w:rPr>
                <w:rFonts w:cs="Arial"/>
              </w:rPr>
            </w:pPr>
            <w:r w:rsidRPr="00B740CB">
              <w:t>Tarif intérieur supplémentaire, si disponible:</w:t>
            </w:r>
            <w:r w:rsidR="00F357D3" w:rsidRPr="00B740CB">
              <w:rPr>
                <w:rStyle w:val="Appelnotedebasdep"/>
              </w:rPr>
              <w:footnoteReference w:id="18"/>
            </w:r>
            <w:r w:rsidRPr="00B740CB">
              <w:br/>
            </w:r>
            <w:r w:rsidRPr="00B740CB">
              <w:rPr>
                <w:i/>
                <w:iCs/>
                <w:u w:val="single"/>
              </w:rPr>
              <w:tab/>
            </w:r>
          </w:p>
        </w:tc>
      </w:tr>
      <w:tr w:rsidR="00767DD4" w:rsidRPr="00B740CB" w14:paraId="6C591A2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A0018BF" w14:textId="77777777" w:rsidR="00767DD4" w:rsidRPr="00B740CB" w:rsidRDefault="00767DD4" w:rsidP="00457E32">
            <w:pPr>
              <w:spacing w:before="40" w:after="40"/>
              <w:rPr>
                <w:rFonts w:cs="Arial"/>
              </w:rPr>
            </w:pPr>
            <w:r w:rsidRPr="00B740CB">
              <w:t>Nom du produit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0C262E7" w14:textId="77777777" w:rsidR="00767DD4" w:rsidRPr="00B740CB" w:rsidRDefault="00767DD4" w:rsidP="00457E32">
            <w:pPr>
              <w:spacing w:before="40" w:after="40"/>
              <w:rPr>
                <w:rFonts w:cs="Arial"/>
              </w:rPr>
            </w:pPr>
          </w:p>
        </w:tc>
      </w:tr>
      <w:tr w:rsidR="00767DD4" w:rsidRPr="00B740CB" w14:paraId="7565638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C61CFA8" w14:textId="77777777" w:rsidR="00767DD4" w:rsidRPr="00B740CB" w:rsidRDefault="00767DD4" w:rsidP="00457E32">
            <w:pPr>
              <w:spacing w:before="40" w:after="40"/>
              <w:rPr>
                <w:rFonts w:cs="Arial"/>
              </w:rPr>
            </w:pPr>
            <w:r w:rsidRPr="00B740CB">
              <w:t>Dimensions maximales: largeur–longueur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F680A71" w14:textId="77777777" w:rsidR="00767DD4" w:rsidRPr="00B740CB" w:rsidRDefault="00767DD4" w:rsidP="00457E32">
            <w:pPr>
              <w:spacing w:before="40" w:after="40"/>
              <w:rPr>
                <w:rFonts w:cs="Arial"/>
              </w:rPr>
            </w:pPr>
          </w:p>
        </w:tc>
      </w:tr>
      <w:tr w:rsidR="00767DD4" w:rsidRPr="00B740CB" w14:paraId="635FBE2E"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DA8CB2C" w14:textId="77777777" w:rsidR="00767DD4" w:rsidRPr="00B740CB" w:rsidRDefault="00767DD4" w:rsidP="00457E32">
            <w:pPr>
              <w:spacing w:before="40" w:after="40"/>
              <w:rPr>
                <w:rFonts w:cs="Arial"/>
              </w:rPr>
            </w:pPr>
            <w:r w:rsidRPr="00B740CB">
              <w:t>Épaisseur maximale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F87449A" w14:textId="77777777" w:rsidR="00767DD4" w:rsidRPr="00B740CB" w:rsidRDefault="00767DD4" w:rsidP="00457E32">
            <w:pPr>
              <w:spacing w:before="40" w:after="40"/>
              <w:rPr>
                <w:rFonts w:cs="Arial"/>
              </w:rPr>
            </w:pPr>
          </w:p>
        </w:tc>
      </w:tr>
      <w:tr w:rsidR="00767DD4" w:rsidRPr="00B740CB" w14:paraId="04C29F6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13E1BA6" w14:textId="77777777" w:rsidR="00767DD4" w:rsidRPr="00B740CB" w:rsidRDefault="00767DD4" w:rsidP="00457E32">
            <w:pPr>
              <w:spacing w:before="40" w:after="40"/>
              <w:rPr>
                <w:rFonts w:cs="Arial"/>
              </w:rPr>
            </w:pPr>
            <w:r w:rsidRPr="00B740CB">
              <w:t>Adresse du site Web sur lequel ces informations peuvent être consultées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6B765A1" w14:textId="77777777" w:rsidR="00767DD4" w:rsidRPr="00B740CB" w:rsidRDefault="00767DD4" w:rsidP="00457E32">
            <w:pPr>
              <w:spacing w:before="40" w:after="40"/>
              <w:rPr>
                <w:rFonts w:cs="Arial"/>
              </w:rPr>
            </w:pPr>
          </w:p>
        </w:tc>
      </w:tr>
    </w:tbl>
    <w:p w14:paraId="396A8737" w14:textId="77777777" w:rsidR="00767DD4" w:rsidRPr="00B740CB" w:rsidRDefault="00767DD4" w:rsidP="00767DD4">
      <w:pPr>
        <w:pStyle w:val="0Textedebase"/>
      </w:pPr>
    </w:p>
    <w:p w14:paraId="46D21D6D" w14:textId="66E18329" w:rsidR="00767DD4" w:rsidRPr="00B740CB" w:rsidRDefault="00767DD4" w:rsidP="005B448A">
      <w:pPr>
        <w:pStyle w:val="0Textedebase"/>
        <w:rPr>
          <w:i/>
          <w:iCs/>
        </w:rPr>
      </w:pPr>
      <w:r w:rsidRPr="00B740CB">
        <w:rPr>
          <w:i/>
          <w:iCs/>
        </w:rPr>
        <w:t>Tableau 10 – Tarif intérieur pour un petit paquet (E) de la poste aux lettres prioritaire de 1000 grammes dans le cadre du service intérieur, entrant en vigueur au 1</w:t>
      </w:r>
      <w:r w:rsidRPr="00B740CB">
        <w:rPr>
          <w:i/>
          <w:iCs/>
          <w:vertAlign w:val="superscript"/>
        </w:rPr>
        <w:t>er</w:t>
      </w:r>
      <w:r w:rsidR="004E5C56" w:rsidRPr="00B740CB">
        <w:rPr>
          <w:i/>
          <w:iCs/>
        </w:rPr>
        <w:t xml:space="preserve"> </w:t>
      </w:r>
      <w:r w:rsidR="002C2AA1" w:rsidRPr="00B740CB">
        <w:rPr>
          <w:i/>
          <w:iCs/>
        </w:rPr>
        <w:t xml:space="preserve">mai </w:t>
      </w:r>
      <w:r w:rsidR="00674F9B" w:rsidRPr="00B740CB">
        <w:rPr>
          <w:i/>
          <w:iCs/>
        </w:rPr>
        <w:t>2026</w:t>
      </w:r>
    </w:p>
    <w:p w14:paraId="05BFAD47" w14:textId="77777777" w:rsidR="00767DD4" w:rsidRPr="00B740CB" w:rsidRDefault="00767DD4" w:rsidP="00767DD4">
      <w:pPr>
        <w:pStyle w:val="0Textedebase"/>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13E8A794" w14:textId="77777777" w:rsidTr="002E7924">
        <w:trPr>
          <w:cantSplit/>
        </w:trPr>
        <w:tc>
          <w:tcPr>
            <w:tcW w:w="2646" w:type="pct"/>
            <w:shd w:val="clear" w:color="auto" w:fill="auto"/>
          </w:tcPr>
          <w:p w14:paraId="256725A1" w14:textId="77777777" w:rsidR="00767DD4" w:rsidRPr="00B740CB" w:rsidRDefault="00767DD4" w:rsidP="00457E32">
            <w:pPr>
              <w:spacing w:before="40" w:after="40"/>
              <w:rPr>
                <w:rFonts w:cs="Arial"/>
              </w:rPr>
            </w:pPr>
            <w:r w:rsidRPr="00B740CB">
              <w:t xml:space="preserve">Taux si une tarification par zone ne s’applique pas </w:t>
            </w:r>
            <w:r w:rsidRPr="00B740CB">
              <w:br/>
              <w:t>(en monnaie locale)</w:t>
            </w:r>
          </w:p>
        </w:tc>
        <w:tc>
          <w:tcPr>
            <w:tcW w:w="2354" w:type="pct"/>
            <w:shd w:val="clear" w:color="auto" w:fill="auto"/>
          </w:tcPr>
          <w:p w14:paraId="011B6B1B" w14:textId="77777777" w:rsidR="00767DD4" w:rsidRPr="00B740CB" w:rsidRDefault="00767DD4" w:rsidP="00457E32">
            <w:pPr>
              <w:spacing w:before="40" w:after="40"/>
              <w:rPr>
                <w:rFonts w:cs="Arial"/>
              </w:rPr>
            </w:pPr>
          </w:p>
        </w:tc>
      </w:tr>
      <w:tr w:rsidR="00767DD4" w:rsidRPr="00B740CB" w14:paraId="723C705A" w14:textId="77777777" w:rsidTr="002E7924">
        <w:trPr>
          <w:cantSplit/>
        </w:trPr>
        <w:tc>
          <w:tcPr>
            <w:tcW w:w="2646" w:type="pct"/>
            <w:shd w:val="clear" w:color="auto" w:fill="auto"/>
          </w:tcPr>
          <w:p w14:paraId="5F719828" w14:textId="188766F6" w:rsidR="00767DD4" w:rsidRPr="00B740CB" w:rsidRDefault="00767DD4" w:rsidP="00457E32">
            <w:pPr>
              <w:spacing w:before="40" w:after="40"/>
              <w:rPr>
                <w:rFonts w:cs="Arial"/>
              </w:rPr>
            </w:pPr>
            <w:r w:rsidRPr="00B740CB">
              <w:t>Taux si une tarification par zone s’applique</w:t>
            </w:r>
            <w:r w:rsidR="00674F9B" w:rsidRPr="00B740CB">
              <w:t xml:space="preserve"> (en monnaie locale)</w:t>
            </w:r>
          </w:p>
        </w:tc>
        <w:tc>
          <w:tcPr>
            <w:tcW w:w="2354" w:type="pct"/>
            <w:shd w:val="clear" w:color="auto" w:fill="auto"/>
          </w:tcPr>
          <w:p w14:paraId="23E70F23" w14:textId="77777777" w:rsidR="00767DD4" w:rsidRPr="00B740CB" w:rsidRDefault="00767DD4" w:rsidP="00457E32">
            <w:pPr>
              <w:spacing w:before="40" w:after="40"/>
              <w:rPr>
                <w:rFonts w:cs="Arial"/>
              </w:rPr>
            </w:pPr>
          </w:p>
        </w:tc>
      </w:tr>
      <w:tr w:rsidR="00767DD4" w:rsidRPr="00B740CB" w14:paraId="58B4E0A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13AF2735" w14:textId="77777777" w:rsidR="00767DD4" w:rsidRPr="00B740CB" w:rsidRDefault="00767DD4" w:rsidP="00457E32">
            <w:pPr>
              <w:spacing w:before="40" w:after="40"/>
              <w:rPr>
                <w:rFonts w:cs="Arial"/>
              </w:rPr>
            </w:pPr>
            <w:r w:rsidRPr="00B740CB">
              <w:lastRenderedPageBreak/>
              <w:t>Si une tarification par zone s’applique, veuillez indiquer la méthode utilisée pour déterminer cette tarification:</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17FCF21" w14:textId="53E522EB" w:rsidR="00767DD4" w:rsidRPr="00B740CB" w:rsidRDefault="00767DD4" w:rsidP="00270106">
            <w:pPr>
              <w:spacing w:before="40" w:after="40"/>
              <w:ind w:left="319" w:hanging="319"/>
              <w:rPr>
                <w:rFonts w:cs="Arial"/>
              </w:rPr>
            </w:pPr>
            <w:r w:rsidRPr="00B740CB">
              <w:rPr>
                <w:sz w:val="24"/>
                <w:szCs w:val="24"/>
              </w:rPr>
              <w:sym w:font="Wingdings" w:char="F072"/>
            </w:r>
            <w:r w:rsidRPr="00B740CB">
              <w:rPr>
                <w:sz w:val="24"/>
                <w:szCs w:val="24"/>
              </w:rPr>
              <w:tab/>
            </w:r>
            <w:r w:rsidRPr="00B740CB">
              <w:t>La tarification par zone indiquée ci-dessus correspond à la distance moyenne réelle pondérée parcourue par les petits paquets (E) de la poste aux lettres</w:t>
            </w:r>
            <w:r w:rsidRPr="00B740CB">
              <w:rPr>
                <w:rStyle w:val="Appelnotedebasdep"/>
                <w:rFonts w:cs="Arial"/>
              </w:rPr>
              <w:footnoteReference w:id="19"/>
            </w:r>
          </w:p>
          <w:p w14:paraId="50DD6692" w14:textId="77777777" w:rsidR="00767DD4" w:rsidRPr="00B740CB" w:rsidRDefault="00767DD4" w:rsidP="00270106">
            <w:pPr>
              <w:spacing w:before="40" w:after="40"/>
              <w:ind w:left="319" w:hanging="319"/>
              <w:rPr>
                <w:rFonts w:cs="Arial"/>
              </w:rPr>
            </w:pPr>
            <w:r w:rsidRPr="00B740CB">
              <w:rPr>
                <w:sz w:val="24"/>
                <w:szCs w:val="24"/>
              </w:rPr>
              <w:sym w:font="Wingdings" w:char="F072"/>
            </w:r>
            <w:r w:rsidRPr="00B740CB">
              <w:tab/>
              <w:t>La tarification par zone correspond au tarif médian du système de tarifs intérieurs par zone</w:t>
            </w:r>
          </w:p>
        </w:tc>
      </w:tr>
      <w:tr w:rsidR="00767DD4" w:rsidRPr="00B740CB" w14:paraId="01974047"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E1A686A" w14:textId="77777777" w:rsidR="00767DD4" w:rsidRPr="00B740CB" w:rsidRDefault="00767DD4" w:rsidP="00457E32">
            <w:pPr>
              <w:spacing w:before="40" w:after="40"/>
              <w:rPr>
                <w:rFonts w:cs="Arial"/>
              </w:rPr>
            </w:pPr>
            <w:r w:rsidRPr="00B740CB">
              <w:t>Taux de TVA ou autres taxes incluses dans le tarif</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62481E0" w14:textId="77777777" w:rsidR="00767DD4" w:rsidRPr="00B740CB" w:rsidRDefault="00767DD4" w:rsidP="00457E32">
            <w:pPr>
              <w:spacing w:before="40" w:after="40"/>
              <w:rPr>
                <w:rFonts w:cs="Arial"/>
              </w:rPr>
            </w:pPr>
          </w:p>
        </w:tc>
      </w:tr>
      <w:tr w:rsidR="00767DD4" w:rsidRPr="00B740CB" w14:paraId="4A4872AF"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289855D" w14:textId="77777777" w:rsidR="00767DD4" w:rsidRPr="00B740CB" w:rsidRDefault="00767DD4" w:rsidP="00457E32">
            <w:pPr>
              <w:spacing w:before="40" w:after="40"/>
              <w:rPr>
                <w:rFonts w:cs="Arial"/>
              </w:rPr>
            </w:pPr>
            <w:r w:rsidRPr="00B740CB">
              <w:t>Format/catégorie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0CE02A7" w14:textId="77777777" w:rsidR="00767DD4" w:rsidRPr="00B740CB" w:rsidRDefault="00767DD4" w:rsidP="00457E32">
            <w:pPr>
              <w:keepNext/>
              <w:keepLines/>
              <w:spacing w:before="40" w:after="40"/>
              <w:rPr>
                <w:rFonts w:cs="Arial"/>
              </w:rPr>
            </w:pPr>
          </w:p>
        </w:tc>
      </w:tr>
      <w:tr w:rsidR="00767DD4" w:rsidRPr="00B740CB" w14:paraId="41B93888"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586473A2" w14:textId="77777777" w:rsidR="00767DD4" w:rsidRPr="00B740CB" w:rsidRDefault="00767DD4" w:rsidP="002E7924">
            <w:pPr>
              <w:spacing w:before="40" w:after="40"/>
              <w:rPr>
                <w:rFonts w:cs="Arial"/>
              </w:rPr>
            </w:pPr>
            <w:r w:rsidRPr="00B740CB">
              <w:t>Veuillez indiquer si l’un des éléments de service ci-contre est compris dans le service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0B4FE19" w14:textId="77777777" w:rsidR="00767DD4" w:rsidRPr="00B740CB" w:rsidRDefault="00767DD4" w:rsidP="00457E32">
            <w:pPr>
              <w:spacing w:before="40" w:after="40"/>
              <w:rPr>
                <w:rFonts w:cs="Arial"/>
              </w:rPr>
            </w:pPr>
            <w:r w:rsidRPr="00B740CB">
              <w:t xml:space="preserve">Recommandation (remise contre signature </w:t>
            </w:r>
            <w:r w:rsidRPr="00B740CB">
              <w:br/>
              <w:t>et responsabilité)</w:t>
            </w:r>
          </w:p>
          <w:p w14:paraId="5A84BC4E"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Oui</w:t>
            </w:r>
          </w:p>
          <w:p w14:paraId="3138D128"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Non</w:t>
            </w:r>
          </w:p>
          <w:p w14:paraId="6BBCB6AF" w14:textId="6C11F1BD" w:rsidR="00767DD4" w:rsidRPr="00B740CB" w:rsidRDefault="00767DD4" w:rsidP="003B74B8">
            <w:pPr>
              <w:tabs>
                <w:tab w:val="left" w:pos="4294"/>
              </w:tabs>
              <w:spacing w:before="40" w:after="40"/>
              <w:rPr>
                <w:rFonts w:cs="Arial"/>
                <w:u w:val="single"/>
              </w:rPr>
            </w:pPr>
            <w:r w:rsidRPr="00B740CB">
              <w:t>Tarif intérieur supplémentaire, si disponible:</w:t>
            </w:r>
            <w:r w:rsidR="003B74B8" w:rsidRPr="00B740CB">
              <w:rPr>
                <w:rFonts w:cs="Arial"/>
                <w:vertAlign w:val="superscript"/>
              </w:rPr>
              <w:t>18</w:t>
            </w:r>
            <w:r w:rsidRPr="00B740CB">
              <w:br/>
            </w:r>
            <w:r w:rsidRPr="00B740CB">
              <w:rPr>
                <w:u w:val="single"/>
              </w:rPr>
              <w:tab/>
            </w:r>
          </w:p>
        </w:tc>
      </w:tr>
      <w:tr w:rsidR="00270106" w:rsidRPr="00B740CB" w14:paraId="7739707C"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79BA950A" w14:textId="77777777" w:rsidR="00270106" w:rsidRPr="00B740CB" w:rsidRDefault="00270106"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05F4A675" w14:textId="77777777" w:rsidR="00270106" w:rsidRPr="00B740CB" w:rsidRDefault="00270106" w:rsidP="00457E32">
            <w:pPr>
              <w:spacing w:before="40" w:after="40"/>
              <w:rPr>
                <w:rFonts w:cs="Arial"/>
              </w:rPr>
            </w:pPr>
            <w:r w:rsidRPr="00B740CB">
              <w:t>Assurance</w:t>
            </w:r>
          </w:p>
          <w:p w14:paraId="15A299DE"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Oui</w:t>
            </w:r>
          </w:p>
          <w:p w14:paraId="19F59871"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Non</w:t>
            </w:r>
          </w:p>
          <w:p w14:paraId="7DE5E2C4" w14:textId="3487A26B" w:rsidR="00270106" w:rsidRPr="00B740CB" w:rsidRDefault="00270106" w:rsidP="003B74B8">
            <w:pPr>
              <w:tabs>
                <w:tab w:val="left" w:pos="4353"/>
              </w:tabs>
              <w:spacing w:before="40" w:after="40"/>
              <w:rPr>
                <w:rFonts w:cs="Arial"/>
                <w:i/>
                <w:iCs/>
                <w:u w:val="single"/>
              </w:rPr>
            </w:pPr>
            <w:r w:rsidRPr="00B740CB">
              <w:t>Tarif intérieur supplémentaire, si disponible:</w:t>
            </w:r>
            <w:r w:rsidR="003B74B8" w:rsidRPr="00B740CB">
              <w:rPr>
                <w:vertAlign w:val="superscript"/>
              </w:rPr>
              <w:t>18</w:t>
            </w:r>
            <w:r w:rsidRPr="00B740CB">
              <w:br/>
            </w:r>
            <w:r w:rsidRPr="00B740CB">
              <w:rPr>
                <w:i/>
                <w:iCs/>
                <w:u w:val="single"/>
              </w:rPr>
              <w:tab/>
            </w:r>
          </w:p>
        </w:tc>
      </w:tr>
      <w:tr w:rsidR="00270106" w:rsidRPr="00B740CB" w14:paraId="0168C726"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719D4BD7" w14:textId="77777777" w:rsidR="00270106" w:rsidRPr="00B740CB" w:rsidRDefault="00270106"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A736E9E" w14:textId="77777777" w:rsidR="00270106" w:rsidRPr="00B740CB" w:rsidRDefault="00270106" w:rsidP="00270106">
            <w:pPr>
              <w:spacing w:before="40" w:after="40"/>
              <w:rPr>
                <w:rFonts w:cs="Arial"/>
              </w:rPr>
            </w:pPr>
            <w:r w:rsidRPr="00B740CB">
              <w:t>Suivi</w:t>
            </w:r>
          </w:p>
          <w:p w14:paraId="79677272"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Oui</w:t>
            </w:r>
          </w:p>
          <w:p w14:paraId="109E7175"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Non</w:t>
            </w:r>
          </w:p>
          <w:p w14:paraId="29735AAA" w14:textId="77777777" w:rsidR="00270106" w:rsidRPr="00B740CB" w:rsidRDefault="00270106" w:rsidP="00F357D3">
            <w:pPr>
              <w:tabs>
                <w:tab w:val="left" w:pos="4288"/>
              </w:tabs>
              <w:spacing w:before="40" w:after="40"/>
              <w:rPr>
                <w:rFonts w:cs="Arial"/>
              </w:rPr>
            </w:pPr>
            <w:r w:rsidRPr="00B740CB">
              <w:t>Tarif intérieur supplémentaire, si disponible:</w:t>
            </w:r>
            <w:r w:rsidR="00F357D3" w:rsidRPr="00B740CB">
              <w:rPr>
                <w:rStyle w:val="Appelnotedebasdep"/>
              </w:rPr>
              <w:footnoteReference w:id="20"/>
            </w:r>
            <w:r w:rsidRPr="00B740CB">
              <w:br/>
            </w:r>
            <w:r w:rsidRPr="00B740CB">
              <w:rPr>
                <w:i/>
                <w:iCs/>
                <w:u w:val="single"/>
              </w:rPr>
              <w:tab/>
            </w:r>
          </w:p>
        </w:tc>
      </w:tr>
      <w:tr w:rsidR="00767DD4" w:rsidRPr="00B740CB" w14:paraId="7A8E92C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BACB05B" w14:textId="77777777" w:rsidR="00767DD4" w:rsidRPr="00B740CB" w:rsidRDefault="00767DD4" w:rsidP="00457E32">
            <w:pPr>
              <w:spacing w:before="40" w:after="40"/>
              <w:rPr>
                <w:rFonts w:cs="Arial"/>
              </w:rPr>
            </w:pPr>
            <w:r w:rsidRPr="00B740CB">
              <w:t>Nom du produit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AF66BB4" w14:textId="77777777" w:rsidR="00767DD4" w:rsidRPr="00B740CB" w:rsidRDefault="00767DD4" w:rsidP="00457E32">
            <w:pPr>
              <w:spacing w:before="40" w:after="40"/>
              <w:rPr>
                <w:rFonts w:cs="Arial"/>
              </w:rPr>
            </w:pPr>
          </w:p>
        </w:tc>
      </w:tr>
      <w:tr w:rsidR="00767DD4" w:rsidRPr="00B740CB" w14:paraId="0AA9C245"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E424168" w14:textId="77777777" w:rsidR="00767DD4" w:rsidRPr="00B740CB" w:rsidRDefault="00767DD4" w:rsidP="00457E32">
            <w:pPr>
              <w:spacing w:before="40" w:after="40"/>
              <w:rPr>
                <w:rFonts w:cs="Arial"/>
              </w:rPr>
            </w:pPr>
            <w:r w:rsidRPr="00B740CB">
              <w:t>Dimensions maximales: largeur–longueur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ED41EAD" w14:textId="77777777" w:rsidR="00767DD4" w:rsidRPr="00B740CB" w:rsidRDefault="00767DD4" w:rsidP="00457E32">
            <w:pPr>
              <w:spacing w:before="40" w:after="40"/>
              <w:rPr>
                <w:rFonts w:cs="Arial"/>
              </w:rPr>
            </w:pPr>
          </w:p>
        </w:tc>
      </w:tr>
      <w:tr w:rsidR="00767DD4" w:rsidRPr="00B740CB" w14:paraId="6551556F"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D8E885D" w14:textId="77777777" w:rsidR="00767DD4" w:rsidRPr="00B740CB" w:rsidRDefault="00767DD4" w:rsidP="00457E32">
            <w:pPr>
              <w:spacing w:before="40" w:after="40"/>
              <w:rPr>
                <w:rFonts w:cs="Arial"/>
              </w:rPr>
            </w:pPr>
            <w:r w:rsidRPr="00B740CB">
              <w:t>Épaisseur maximale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0123392" w14:textId="77777777" w:rsidR="00767DD4" w:rsidRPr="00B740CB" w:rsidRDefault="00767DD4" w:rsidP="00457E32">
            <w:pPr>
              <w:spacing w:before="40" w:after="40"/>
              <w:rPr>
                <w:rFonts w:cs="Arial"/>
              </w:rPr>
            </w:pPr>
          </w:p>
        </w:tc>
      </w:tr>
      <w:tr w:rsidR="00767DD4" w:rsidRPr="00B740CB" w14:paraId="1EEEDB71"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FCDF171" w14:textId="77777777" w:rsidR="00767DD4" w:rsidRPr="00B740CB" w:rsidRDefault="00767DD4" w:rsidP="00457E32">
            <w:pPr>
              <w:spacing w:before="40" w:after="40"/>
              <w:rPr>
                <w:rFonts w:cs="Arial"/>
              </w:rPr>
            </w:pPr>
            <w:r w:rsidRPr="00B740CB">
              <w:t>Adresse du site Web sur lequel ces informations peuvent être consultées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AB438AB" w14:textId="77777777" w:rsidR="00767DD4" w:rsidRPr="00B740CB" w:rsidRDefault="00767DD4" w:rsidP="00457E32">
            <w:pPr>
              <w:spacing w:before="40" w:after="40"/>
              <w:rPr>
                <w:rFonts w:cs="Arial"/>
              </w:rPr>
            </w:pPr>
          </w:p>
        </w:tc>
      </w:tr>
    </w:tbl>
    <w:p w14:paraId="4C653BA4" w14:textId="77777777" w:rsidR="00767DD4" w:rsidRPr="00B740CB" w:rsidRDefault="00767DD4" w:rsidP="00767DD4">
      <w:pPr>
        <w:pStyle w:val="0Textedebase"/>
      </w:pPr>
    </w:p>
    <w:p w14:paraId="62ADE841" w14:textId="2C736D1D" w:rsidR="00767DD4" w:rsidRPr="00B740CB" w:rsidRDefault="00767DD4" w:rsidP="005B448A">
      <w:pPr>
        <w:pStyle w:val="0Textedebase"/>
        <w:rPr>
          <w:i/>
          <w:iCs/>
        </w:rPr>
      </w:pPr>
      <w:r w:rsidRPr="00B740CB">
        <w:rPr>
          <w:i/>
          <w:iCs/>
        </w:rPr>
        <w:t>Tableau 11 – Tarif intérieur pour un petit paquet (E) de la poste aux lettres prioritaire de 1500 grammes dans le cadre du service intérieur, entrant en vigueur au 1</w:t>
      </w:r>
      <w:r w:rsidRPr="00B740CB">
        <w:rPr>
          <w:i/>
          <w:iCs/>
          <w:vertAlign w:val="superscript"/>
        </w:rPr>
        <w:t>er</w:t>
      </w:r>
      <w:r w:rsidRPr="00B740CB">
        <w:rPr>
          <w:i/>
          <w:iCs/>
        </w:rPr>
        <w:t xml:space="preserve"> </w:t>
      </w:r>
      <w:r w:rsidR="00C92D72" w:rsidRPr="00B740CB">
        <w:rPr>
          <w:i/>
          <w:iCs/>
        </w:rPr>
        <w:t xml:space="preserve">mai </w:t>
      </w:r>
      <w:r w:rsidR="00F9334A" w:rsidRPr="00B740CB">
        <w:rPr>
          <w:i/>
          <w:iCs/>
        </w:rPr>
        <w:t>2026</w:t>
      </w:r>
    </w:p>
    <w:p w14:paraId="44B3F21C" w14:textId="77777777" w:rsidR="00767DD4" w:rsidRPr="00B740CB" w:rsidRDefault="00767DD4" w:rsidP="00767DD4">
      <w:pPr>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06193B5C" w14:textId="77777777" w:rsidTr="002E7924">
        <w:trPr>
          <w:cantSplit/>
        </w:trPr>
        <w:tc>
          <w:tcPr>
            <w:tcW w:w="2646" w:type="pct"/>
            <w:shd w:val="clear" w:color="auto" w:fill="auto"/>
          </w:tcPr>
          <w:p w14:paraId="465BF69C" w14:textId="77777777" w:rsidR="00767DD4" w:rsidRPr="00B740CB" w:rsidRDefault="00767DD4" w:rsidP="00457E32">
            <w:pPr>
              <w:spacing w:before="40" w:after="40"/>
              <w:rPr>
                <w:rFonts w:cs="Arial"/>
              </w:rPr>
            </w:pPr>
            <w:r w:rsidRPr="00B740CB">
              <w:t xml:space="preserve">Taux si une tarification par zone ne s’applique pas </w:t>
            </w:r>
            <w:r w:rsidRPr="00B740CB">
              <w:br/>
              <w:t>(en monnaie locale)</w:t>
            </w:r>
          </w:p>
        </w:tc>
        <w:tc>
          <w:tcPr>
            <w:tcW w:w="2354" w:type="pct"/>
            <w:shd w:val="clear" w:color="auto" w:fill="auto"/>
          </w:tcPr>
          <w:p w14:paraId="5110A1BA" w14:textId="77777777" w:rsidR="00767DD4" w:rsidRPr="00B740CB" w:rsidRDefault="00767DD4" w:rsidP="00457E32">
            <w:pPr>
              <w:spacing w:before="40" w:after="40"/>
              <w:rPr>
                <w:rFonts w:cs="Arial"/>
              </w:rPr>
            </w:pPr>
          </w:p>
        </w:tc>
      </w:tr>
      <w:tr w:rsidR="00767DD4" w:rsidRPr="00B740CB" w14:paraId="45650109" w14:textId="77777777" w:rsidTr="002E7924">
        <w:trPr>
          <w:cantSplit/>
        </w:trPr>
        <w:tc>
          <w:tcPr>
            <w:tcW w:w="2646" w:type="pct"/>
            <w:shd w:val="clear" w:color="auto" w:fill="auto"/>
          </w:tcPr>
          <w:p w14:paraId="1106E349" w14:textId="4628C1B4" w:rsidR="00767DD4" w:rsidRPr="00B740CB" w:rsidRDefault="00767DD4" w:rsidP="00457E32">
            <w:pPr>
              <w:spacing w:before="40" w:after="40"/>
              <w:rPr>
                <w:rFonts w:cs="Arial"/>
              </w:rPr>
            </w:pPr>
            <w:r w:rsidRPr="00B740CB">
              <w:t>Taux si une tarification par zone s’applique</w:t>
            </w:r>
            <w:r w:rsidR="00F9334A" w:rsidRPr="00B740CB">
              <w:t xml:space="preserve"> (en monnaie locale)</w:t>
            </w:r>
          </w:p>
        </w:tc>
        <w:tc>
          <w:tcPr>
            <w:tcW w:w="2354" w:type="pct"/>
            <w:shd w:val="clear" w:color="auto" w:fill="auto"/>
          </w:tcPr>
          <w:p w14:paraId="504A1719" w14:textId="77777777" w:rsidR="00767DD4" w:rsidRPr="00B740CB" w:rsidRDefault="00767DD4" w:rsidP="00457E32">
            <w:pPr>
              <w:spacing w:before="40" w:after="40"/>
              <w:rPr>
                <w:rFonts w:cs="Arial"/>
              </w:rPr>
            </w:pPr>
          </w:p>
        </w:tc>
      </w:tr>
      <w:tr w:rsidR="00767DD4" w:rsidRPr="00B740CB" w14:paraId="7342D34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4EE57FC6" w14:textId="77777777" w:rsidR="00767DD4" w:rsidRPr="00B740CB" w:rsidRDefault="00767DD4" w:rsidP="00457E32">
            <w:pPr>
              <w:spacing w:before="40" w:after="40"/>
              <w:rPr>
                <w:rFonts w:cs="Arial"/>
              </w:rPr>
            </w:pPr>
            <w:r w:rsidRPr="00B740CB">
              <w:lastRenderedPageBreak/>
              <w:t>Si une tarification par zone s’applique, veuillez indiquer la méthode utilisée pour déterminer cette tarification:</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563B009" w14:textId="248DD43F" w:rsidR="00767DD4" w:rsidRPr="00B740CB" w:rsidRDefault="00767DD4" w:rsidP="00270106">
            <w:pPr>
              <w:spacing w:before="40" w:after="40"/>
              <w:ind w:left="319" w:hanging="319"/>
              <w:rPr>
                <w:rFonts w:cs="Arial"/>
              </w:rPr>
            </w:pPr>
            <w:r w:rsidRPr="00B740CB">
              <w:rPr>
                <w:sz w:val="24"/>
                <w:szCs w:val="24"/>
              </w:rPr>
              <w:sym w:font="Wingdings" w:char="F072"/>
            </w:r>
            <w:r w:rsidRPr="00B740CB">
              <w:rPr>
                <w:sz w:val="24"/>
                <w:szCs w:val="24"/>
              </w:rPr>
              <w:tab/>
            </w:r>
            <w:r w:rsidRPr="00B740CB">
              <w:t>La tarification par zone indiquée ci-dessus correspond à la distance moyenne réelle pondérée parcourue par les petits paquets (E) de la poste aux lettres</w:t>
            </w:r>
            <w:r w:rsidRPr="00B740CB">
              <w:rPr>
                <w:rStyle w:val="Appelnotedebasdep"/>
                <w:rFonts w:cs="Arial"/>
              </w:rPr>
              <w:footnoteReference w:id="21"/>
            </w:r>
          </w:p>
          <w:p w14:paraId="01569FF3" w14:textId="77777777" w:rsidR="00767DD4" w:rsidRPr="00B740CB" w:rsidRDefault="00767DD4" w:rsidP="00270106">
            <w:pPr>
              <w:spacing w:before="40" w:after="40"/>
              <w:ind w:left="319" w:hanging="319"/>
              <w:rPr>
                <w:rFonts w:cs="Arial"/>
              </w:rPr>
            </w:pPr>
            <w:r w:rsidRPr="00B740CB">
              <w:rPr>
                <w:sz w:val="24"/>
                <w:szCs w:val="24"/>
              </w:rPr>
              <w:sym w:font="Wingdings" w:char="F072"/>
            </w:r>
            <w:r w:rsidRPr="00B740CB">
              <w:tab/>
              <w:t>La tarification par zone correspond au tarif médian du système de tarifs intérieurs par zone</w:t>
            </w:r>
          </w:p>
        </w:tc>
      </w:tr>
      <w:tr w:rsidR="00767DD4" w:rsidRPr="00B740CB" w14:paraId="5137AEF4"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5AFB510" w14:textId="77777777" w:rsidR="00767DD4" w:rsidRPr="00B740CB" w:rsidRDefault="00767DD4" w:rsidP="00457E32">
            <w:pPr>
              <w:spacing w:before="40" w:after="40"/>
              <w:rPr>
                <w:rFonts w:cs="Arial"/>
              </w:rPr>
            </w:pPr>
            <w:r w:rsidRPr="00B740CB">
              <w:t>Taux de TVA ou autres taxes incluses dans le tarif</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0C218A1" w14:textId="77777777" w:rsidR="00767DD4" w:rsidRPr="00B740CB" w:rsidRDefault="00767DD4" w:rsidP="00457E32">
            <w:pPr>
              <w:spacing w:before="40" w:after="40"/>
              <w:rPr>
                <w:rFonts w:cs="Arial"/>
              </w:rPr>
            </w:pPr>
          </w:p>
        </w:tc>
      </w:tr>
      <w:tr w:rsidR="00767DD4" w:rsidRPr="00B740CB" w14:paraId="46673E1E"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03FB801" w14:textId="77777777" w:rsidR="00767DD4" w:rsidRPr="00B740CB" w:rsidRDefault="00767DD4" w:rsidP="00457E32">
            <w:pPr>
              <w:spacing w:before="40" w:after="40"/>
              <w:rPr>
                <w:rFonts w:cs="Arial"/>
              </w:rPr>
            </w:pPr>
            <w:r w:rsidRPr="00B740CB">
              <w:t>Format/catégorie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782F7C0" w14:textId="77777777" w:rsidR="00767DD4" w:rsidRPr="00B740CB" w:rsidRDefault="00767DD4" w:rsidP="00457E32">
            <w:pPr>
              <w:keepNext/>
              <w:keepLines/>
              <w:spacing w:before="40" w:after="40"/>
              <w:rPr>
                <w:rFonts w:cs="Arial"/>
              </w:rPr>
            </w:pPr>
          </w:p>
        </w:tc>
      </w:tr>
      <w:tr w:rsidR="00767DD4" w:rsidRPr="00B740CB" w14:paraId="759C52BB" w14:textId="77777777" w:rsidTr="002E7924">
        <w:trPr>
          <w:cantSplit/>
        </w:trPr>
        <w:tc>
          <w:tcPr>
            <w:tcW w:w="2646" w:type="pct"/>
            <w:vMerge w:val="restart"/>
            <w:tcBorders>
              <w:top w:val="single" w:sz="4" w:space="0" w:color="auto"/>
              <w:left w:val="single" w:sz="4" w:space="0" w:color="auto"/>
              <w:bottom w:val="nil"/>
              <w:right w:val="single" w:sz="4" w:space="0" w:color="auto"/>
            </w:tcBorders>
            <w:shd w:val="clear" w:color="auto" w:fill="auto"/>
          </w:tcPr>
          <w:p w14:paraId="01C6D5AD" w14:textId="77777777" w:rsidR="00767DD4" w:rsidRPr="00B740CB" w:rsidRDefault="00767DD4" w:rsidP="002E7924">
            <w:pPr>
              <w:spacing w:before="40" w:after="40"/>
              <w:rPr>
                <w:rFonts w:cs="Arial"/>
              </w:rPr>
            </w:pPr>
            <w:r w:rsidRPr="00B740CB">
              <w:t xml:space="preserve">Veuillez indiquer si l’un des éléments de service </w:t>
            </w:r>
            <w:r w:rsidRPr="00B740CB">
              <w:br/>
              <w:t>ci-contre est compris dans le service de base:</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3FFF9FB" w14:textId="77777777" w:rsidR="00767DD4" w:rsidRPr="00B740CB" w:rsidRDefault="00767DD4" w:rsidP="00457E32">
            <w:pPr>
              <w:spacing w:before="40" w:after="40"/>
              <w:rPr>
                <w:rFonts w:cs="Arial"/>
              </w:rPr>
            </w:pPr>
            <w:r w:rsidRPr="00B740CB">
              <w:t xml:space="preserve">Recommandation (remise contre signature </w:t>
            </w:r>
            <w:r w:rsidRPr="00B740CB">
              <w:br/>
              <w:t>et responsabilité)</w:t>
            </w:r>
          </w:p>
          <w:p w14:paraId="4E25EB80"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Oui</w:t>
            </w:r>
          </w:p>
          <w:p w14:paraId="1FC86BC3"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Non</w:t>
            </w:r>
          </w:p>
          <w:p w14:paraId="66DADEA5" w14:textId="3A2B5731" w:rsidR="00767DD4" w:rsidRPr="00B740CB" w:rsidRDefault="00767DD4" w:rsidP="003B74B8">
            <w:pPr>
              <w:tabs>
                <w:tab w:val="left" w:pos="4294"/>
              </w:tabs>
              <w:spacing w:before="40" w:after="40"/>
              <w:rPr>
                <w:rFonts w:cs="Arial"/>
                <w:u w:val="single"/>
              </w:rPr>
            </w:pPr>
            <w:r w:rsidRPr="00B740CB">
              <w:t>Tarif intérieur supplémentaire, si disponible:</w:t>
            </w:r>
            <w:r w:rsidR="003B74B8" w:rsidRPr="00B740CB">
              <w:rPr>
                <w:vertAlign w:val="superscript"/>
              </w:rPr>
              <w:t>20</w:t>
            </w:r>
            <w:r w:rsidRPr="00B740CB">
              <w:br/>
            </w:r>
            <w:r w:rsidRPr="00B740CB">
              <w:rPr>
                <w:u w:val="single"/>
              </w:rPr>
              <w:tab/>
            </w:r>
          </w:p>
        </w:tc>
      </w:tr>
      <w:tr w:rsidR="00270106" w:rsidRPr="00B740CB" w14:paraId="791DAB3B" w14:textId="77777777" w:rsidTr="002E7924">
        <w:trPr>
          <w:cantSplit/>
        </w:trPr>
        <w:tc>
          <w:tcPr>
            <w:tcW w:w="2646" w:type="pct"/>
            <w:vMerge/>
            <w:tcBorders>
              <w:top w:val="nil"/>
              <w:left w:val="single" w:sz="4" w:space="0" w:color="auto"/>
              <w:bottom w:val="nil"/>
              <w:right w:val="single" w:sz="4" w:space="0" w:color="auto"/>
            </w:tcBorders>
            <w:shd w:val="clear" w:color="auto" w:fill="auto"/>
          </w:tcPr>
          <w:p w14:paraId="091EB444" w14:textId="77777777" w:rsidR="00270106" w:rsidRPr="00B740CB" w:rsidRDefault="00270106" w:rsidP="00457E32">
            <w:pPr>
              <w:spacing w:before="40" w:after="40"/>
              <w:rPr>
                <w:rFonts w:cs="Arial"/>
              </w:rPr>
            </w:pPr>
          </w:p>
        </w:tc>
        <w:tc>
          <w:tcPr>
            <w:tcW w:w="2354" w:type="pct"/>
            <w:tcBorders>
              <w:top w:val="single" w:sz="4" w:space="0" w:color="auto"/>
              <w:left w:val="single" w:sz="4" w:space="0" w:color="auto"/>
              <w:right w:val="single" w:sz="4" w:space="0" w:color="auto"/>
            </w:tcBorders>
            <w:shd w:val="clear" w:color="auto" w:fill="auto"/>
          </w:tcPr>
          <w:p w14:paraId="79F65091" w14:textId="77777777" w:rsidR="00270106" w:rsidRPr="00B740CB" w:rsidRDefault="00270106" w:rsidP="00457E32">
            <w:pPr>
              <w:spacing w:before="40" w:after="40"/>
              <w:rPr>
                <w:rFonts w:cs="Arial"/>
              </w:rPr>
            </w:pPr>
            <w:r w:rsidRPr="00B740CB">
              <w:t>Assurance</w:t>
            </w:r>
          </w:p>
          <w:p w14:paraId="797DCFE5"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Oui</w:t>
            </w:r>
          </w:p>
          <w:p w14:paraId="6A9D82E5"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Non</w:t>
            </w:r>
          </w:p>
          <w:p w14:paraId="37B36B07" w14:textId="70F8C0E5" w:rsidR="00270106" w:rsidRPr="00B740CB" w:rsidRDefault="00270106" w:rsidP="003B74B8">
            <w:pPr>
              <w:tabs>
                <w:tab w:val="left" w:pos="4353"/>
              </w:tabs>
              <w:spacing w:before="40" w:after="40"/>
              <w:rPr>
                <w:rFonts w:cs="Arial"/>
                <w:i/>
                <w:iCs/>
                <w:u w:val="single"/>
              </w:rPr>
            </w:pPr>
            <w:r w:rsidRPr="00B740CB">
              <w:t>Tarif intérieur supplémentaire, si disponible:</w:t>
            </w:r>
            <w:r w:rsidR="003B74B8" w:rsidRPr="00B740CB">
              <w:rPr>
                <w:vertAlign w:val="superscript"/>
              </w:rPr>
              <w:t>20</w:t>
            </w:r>
            <w:r w:rsidRPr="00B740CB">
              <w:br/>
            </w:r>
            <w:r w:rsidRPr="00B740CB">
              <w:rPr>
                <w:i/>
                <w:iCs/>
                <w:u w:val="single"/>
              </w:rPr>
              <w:tab/>
            </w:r>
          </w:p>
        </w:tc>
      </w:tr>
      <w:tr w:rsidR="00270106" w:rsidRPr="00B740CB" w14:paraId="44D92F4F"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023EDF6A" w14:textId="77777777" w:rsidR="00270106" w:rsidRPr="00B740CB" w:rsidRDefault="00270106" w:rsidP="008B6D79">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10D850E" w14:textId="77777777" w:rsidR="00270106" w:rsidRPr="00B740CB" w:rsidRDefault="00270106" w:rsidP="00270106">
            <w:pPr>
              <w:spacing w:before="40" w:after="40"/>
              <w:rPr>
                <w:rFonts w:cs="Arial"/>
              </w:rPr>
            </w:pPr>
            <w:r w:rsidRPr="00B740CB">
              <w:t>Suivi</w:t>
            </w:r>
          </w:p>
          <w:p w14:paraId="3EB62F9F"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Oui</w:t>
            </w:r>
          </w:p>
          <w:p w14:paraId="6E4DC6D1"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Non</w:t>
            </w:r>
          </w:p>
          <w:p w14:paraId="38D13AE2" w14:textId="77777777" w:rsidR="00270106" w:rsidRPr="00B740CB" w:rsidRDefault="00270106" w:rsidP="00F357D3">
            <w:pPr>
              <w:tabs>
                <w:tab w:val="left" w:pos="4288"/>
              </w:tabs>
              <w:spacing w:before="40" w:after="40"/>
              <w:rPr>
                <w:rFonts w:cs="Arial"/>
              </w:rPr>
            </w:pPr>
            <w:r w:rsidRPr="00B740CB">
              <w:t>Tarif intérieur supplémentaire, si disponible:</w:t>
            </w:r>
            <w:r w:rsidR="00F357D3" w:rsidRPr="00B740CB">
              <w:rPr>
                <w:rStyle w:val="Appelnotedebasdep"/>
              </w:rPr>
              <w:footnoteReference w:id="22"/>
            </w:r>
            <w:r w:rsidRPr="00B740CB">
              <w:br/>
            </w:r>
            <w:r w:rsidRPr="00B740CB">
              <w:rPr>
                <w:i/>
                <w:iCs/>
                <w:u w:val="single"/>
              </w:rPr>
              <w:tab/>
            </w:r>
          </w:p>
        </w:tc>
      </w:tr>
      <w:tr w:rsidR="00767DD4" w:rsidRPr="00B740CB" w14:paraId="54451B79"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AF8BFF1" w14:textId="77777777" w:rsidR="00767DD4" w:rsidRPr="00B740CB" w:rsidRDefault="00767DD4" w:rsidP="00457E32">
            <w:pPr>
              <w:spacing w:before="40" w:after="40"/>
              <w:rPr>
                <w:rFonts w:cs="Arial"/>
              </w:rPr>
            </w:pPr>
            <w:r w:rsidRPr="00B740CB">
              <w:t>Nom du produit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3E85D04" w14:textId="77777777" w:rsidR="00767DD4" w:rsidRPr="00B740CB" w:rsidRDefault="00767DD4" w:rsidP="00457E32">
            <w:pPr>
              <w:spacing w:before="40" w:after="40"/>
              <w:rPr>
                <w:rFonts w:cs="Arial"/>
              </w:rPr>
            </w:pPr>
          </w:p>
        </w:tc>
      </w:tr>
      <w:tr w:rsidR="00767DD4" w:rsidRPr="00B740CB" w14:paraId="2C55681F"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7CF192E" w14:textId="77777777" w:rsidR="00767DD4" w:rsidRPr="00B740CB" w:rsidRDefault="00767DD4" w:rsidP="00457E32">
            <w:pPr>
              <w:spacing w:before="40" w:after="40"/>
              <w:rPr>
                <w:rFonts w:cs="Arial"/>
              </w:rPr>
            </w:pPr>
            <w:r w:rsidRPr="00B740CB">
              <w:t>Dimensions maximales: largeur–longueur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F05CB4F" w14:textId="77777777" w:rsidR="00767DD4" w:rsidRPr="00B740CB" w:rsidRDefault="00767DD4" w:rsidP="00457E32">
            <w:pPr>
              <w:spacing w:before="40" w:after="40"/>
              <w:rPr>
                <w:rFonts w:cs="Arial"/>
              </w:rPr>
            </w:pPr>
          </w:p>
        </w:tc>
      </w:tr>
      <w:tr w:rsidR="00767DD4" w:rsidRPr="00B740CB" w14:paraId="1337353A"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63883F9B" w14:textId="77777777" w:rsidR="00767DD4" w:rsidRPr="00B740CB" w:rsidRDefault="00767DD4" w:rsidP="00457E32">
            <w:pPr>
              <w:spacing w:before="40" w:after="40"/>
              <w:rPr>
                <w:rFonts w:cs="Arial"/>
              </w:rPr>
            </w:pPr>
            <w:r w:rsidRPr="00B740CB">
              <w:t>Épaisseur maximale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CFD0F0C" w14:textId="77777777" w:rsidR="00767DD4" w:rsidRPr="00B740CB" w:rsidRDefault="00767DD4" w:rsidP="00457E32">
            <w:pPr>
              <w:spacing w:before="40" w:after="40"/>
              <w:rPr>
                <w:rFonts w:cs="Arial"/>
              </w:rPr>
            </w:pPr>
          </w:p>
        </w:tc>
      </w:tr>
      <w:tr w:rsidR="00767DD4" w:rsidRPr="00B740CB" w14:paraId="269D271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359A5A8B" w14:textId="77777777" w:rsidR="00767DD4" w:rsidRPr="00B740CB" w:rsidRDefault="00767DD4" w:rsidP="00457E32">
            <w:pPr>
              <w:spacing w:before="40" w:after="40"/>
              <w:rPr>
                <w:rFonts w:cs="Arial"/>
              </w:rPr>
            </w:pPr>
            <w:r w:rsidRPr="00B740CB">
              <w:t>Adresse du site Web sur lequel ces informations peuvent être consultées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D905F18" w14:textId="77777777" w:rsidR="00767DD4" w:rsidRPr="00B740CB" w:rsidRDefault="00767DD4" w:rsidP="00457E32">
            <w:pPr>
              <w:spacing w:before="40" w:after="40"/>
              <w:rPr>
                <w:rFonts w:cs="Arial"/>
              </w:rPr>
            </w:pPr>
          </w:p>
        </w:tc>
      </w:tr>
    </w:tbl>
    <w:p w14:paraId="75F14B22" w14:textId="77777777" w:rsidR="00767DD4" w:rsidRPr="00B740CB" w:rsidRDefault="00767DD4" w:rsidP="00767DD4">
      <w:pPr>
        <w:jc w:val="both"/>
      </w:pPr>
    </w:p>
    <w:p w14:paraId="44DC56E1" w14:textId="6EA0B664" w:rsidR="00767DD4" w:rsidRPr="00B740CB" w:rsidRDefault="00767DD4" w:rsidP="005B448A">
      <w:pPr>
        <w:jc w:val="both"/>
        <w:rPr>
          <w:i/>
          <w:iCs/>
        </w:rPr>
      </w:pPr>
      <w:r w:rsidRPr="00B740CB">
        <w:rPr>
          <w:i/>
          <w:iCs/>
        </w:rPr>
        <w:t>Tableau 12 – Tarif intérieur pour un petit paquet (E) de la poste aux lettres prioritaire de 2000 grammes dans le cadre du service intérieur, entrant en vigueur au 1</w:t>
      </w:r>
      <w:r w:rsidRPr="00B740CB">
        <w:rPr>
          <w:i/>
          <w:iCs/>
          <w:vertAlign w:val="superscript"/>
        </w:rPr>
        <w:t>er</w:t>
      </w:r>
      <w:r w:rsidRPr="00B740CB">
        <w:rPr>
          <w:i/>
          <w:iCs/>
        </w:rPr>
        <w:t xml:space="preserve"> </w:t>
      </w:r>
      <w:r w:rsidR="00E2704E" w:rsidRPr="00B740CB">
        <w:rPr>
          <w:i/>
          <w:iCs/>
        </w:rPr>
        <w:t xml:space="preserve">mai </w:t>
      </w:r>
      <w:r w:rsidR="00D63811" w:rsidRPr="00B740CB">
        <w:rPr>
          <w:i/>
          <w:iCs/>
        </w:rPr>
        <w:t>2026</w:t>
      </w:r>
    </w:p>
    <w:p w14:paraId="53FDD592" w14:textId="77777777" w:rsidR="00767DD4" w:rsidRPr="00B740CB" w:rsidRDefault="00767DD4" w:rsidP="00767DD4">
      <w:pPr>
        <w:jc w:val="both"/>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4535"/>
      </w:tblGrid>
      <w:tr w:rsidR="00767DD4" w:rsidRPr="00B740CB" w14:paraId="5322F9B6" w14:textId="77777777" w:rsidTr="002E7924">
        <w:trPr>
          <w:cantSplit/>
        </w:trPr>
        <w:tc>
          <w:tcPr>
            <w:tcW w:w="2646" w:type="pct"/>
            <w:shd w:val="clear" w:color="auto" w:fill="auto"/>
          </w:tcPr>
          <w:p w14:paraId="4BF72817" w14:textId="77777777" w:rsidR="00767DD4" w:rsidRPr="00B740CB" w:rsidRDefault="00767DD4" w:rsidP="00457E32">
            <w:pPr>
              <w:spacing w:before="40" w:after="40"/>
              <w:rPr>
                <w:rFonts w:cs="Arial"/>
              </w:rPr>
            </w:pPr>
            <w:r w:rsidRPr="00B740CB">
              <w:t xml:space="preserve">Taux si une tarification par zone ne s’applique pas </w:t>
            </w:r>
            <w:r w:rsidRPr="00B740CB">
              <w:br/>
              <w:t>(en monnaie locale)</w:t>
            </w:r>
          </w:p>
        </w:tc>
        <w:tc>
          <w:tcPr>
            <w:tcW w:w="2354" w:type="pct"/>
            <w:shd w:val="clear" w:color="auto" w:fill="auto"/>
          </w:tcPr>
          <w:p w14:paraId="63C9E354" w14:textId="77777777" w:rsidR="00767DD4" w:rsidRPr="00B740CB" w:rsidRDefault="00767DD4" w:rsidP="00457E32">
            <w:pPr>
              <w:spacing w:before="40" w:after="40"/>
              <w:rPr>
                <w:rFonts w:cs="Arial"/>
              </w:rPr>
            </w:pPr>
          </w:p>
        </w:tc>
      </w:tr>
      <w:tr w:rsidR="00767DD4" w:rsidRPr="00B740CB" w14:paraId="56A49A34" w14:textId="77777777" w:rsidTr="002E7924">
        <w:trPr>
          <w:cantSplit/>
        </w:trPr>
        <w:tc>
          <w:tcPr>
            <w:tcW w:w="2646" w:type="pct"/>
            <w:shd w:val="clear" w:color="auto" w:fill="auto"/>
          </w:tcPr>
          <w:p w14:paraId="7FD2A00B" w14:textId="2DBED75E" w:rsidR="00767DD4" w:rsidRPr="00B740CB" w:rsidRDefault="00767DD4" w:rsidP="00457E32">
            <w:pPr>
              <w:spacing w:before="40" w:after="40"/>
              <w:rPr>
                <w:rFonts w:cs="Arial"/>
              </w:rPr>
            </w:pPr>
            <w:r w:rsidRPr="00B740CB">
              <w:t>Taux si une tarification par zone s’applique</w:t>
            </w:r>
            <w:r w:rsidR="00D63811" w:rsidRPr="00B740CB">
              <w:t xml:space="preserve"> (en monnaie locale)</w:t>
            </w:r>
          </w:p>
        </w:tc>
        <w:tc>
          <w:tcPr>
            <w:tcW w:w="2354" w:type="pct"/>
            <w:shd w:val="clear" w:color="auto" w:fill="auto"/>
          </w:tcPr>
          <w:p w14:paraId="4E52B989" w14:textId="77777777" w:rsidR="00767DD4" w:rsidRPr="00B740CB" w:rsidRDefault="00767DD4" w:rsidP="00457E32">
            <w:pPr>
              <w:spacing w:before="40" w:after="40"/>
              <w:rPr>
                <w:rFonts w:cs="Arial"/>
              </w:rPr>
            </w:pPr>
          </w:p>
        </w:tc>
      </w:tr>
      <w:tr w:rsidR="00767DD4" w:rsidRPr="00B740CB" w14:paraId="7F8A7EEF"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3BCAA24" w14:textId="77777777" w:rsidR="00767DD4" w:rsidRPr="00B740CB" w:rsidRDefault="00767DD4" w:rsidP="00457E32">
            <w:pPr>
              <w:spacing w:before="40" w:after="40"/>
              <w:rPr>
                <w:rFonts w:cs="Arial"/>
              </w:rPr>
            </w:pPr>
            <w:r w:rsidRPr="00B740CB">
              <w:lastRenderedPageBreak/>
              <w:t>Si une tarification par zone s’applique, veuillez indiquer la méthode utilisée pour déterminer cette tarification:</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77D7D41B" w14:textId="31BCCFA0" w:rsidR="00767DD4" w:rsidRPr="00B740CB" w:rsidRDefault="00767DD4" w:rsidP="00270106">
            <w:pPr>
              <w:spacing w:before="40" w:after="40"/>
              <w:ind w:left="319" w:hanging="319"/>
              <w:rPr>
                <w:rFonts w:cs="Arial"/>
              </w:rPr>
            </w:pPr>
            <w:r w:rsidRPr="00B740CB">
              <w:rPr>
                <w:sz w:val="24"/>
                <w:szCs w:val="24"/>
              </w:rPr>
              <w:sym w:font="Wingdings" w:char="F072"/>
            </w:r>
            <w:r w:rsidRPr="00B740CB">
              <w:rPr>
                <w:sz w:val="24"/>
                <w:szCs w:val="24"/>
              </w:rPr>
              <w:tab/>
            </w:r>
            <w:r w:rsidRPr="00B740CB">
              <w:t>La tarification par zone indiquée ci-dessus correspond à la distance moyenne réelle pondérée parcourue par les petits paquets (E) de la poste aux lettres</w:t>
            </w:r>
            <w:r w:rsidRPr="00B740CB">
              <w:rPr>
                <w:rStyle w:val="Appelnotedebasdep"/>
                <w:rFonts w:cs="Arial"/>
              </w:rPr>
              <w:footnoteReference w:id="23"/>
            </w:r>
          </w:p>
          <w:p w14:paraId="14F469C6" w14:textId="77777777" w:rsidR="00767DD4" w:rsidRPr="00B740CB" w:rsidRDefault="00767DD4" w:rsidP="00270106">
            <w:pPr>
              <w:spacing w:before="40" w:after="40"/>
              <w:ind w:left="319" w:hanging="319"/>
              <w:rPr>
                <w:rFonts w:cs="Arial"/>
              </w:rPr>
            </w:pPr>
            <w:r w:rsidRPr="00B740CB">
              <w:rPr>
                <w:sz w:val="24"/>
                <w:szCs w:val="24"/>
              </w:rPr>
              <w:sym w:font="Wingdings" w:char="F072"/>
            </w:r>
            <w:r w:rsidRPr="00B740CB">
              <w:tab/>
              <w:t>La tarification par zone correspond au tarif médian du système de tarifs intérieurs par zone</w:t>
            </w:r>
          </w:p>
        </w:tc>
      </w:tr>
      <w:tr w:rsidR="00767DD4" w:rsidRPr="00B740CB" w14:paraId="1C4B12C7"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F3484E4" w14:textId="77777777" w:rsidR="00767DD4" w:rsidRPr="00B740CB" w:rsidRDefault="00767DD4" w:rsidP="00457E32">
            <w:pPr>
              <w:spacing w:before="40" w:after="40"/>
              <w:rPr>
                <w:rFonts w:cs="Arial"/>
              </w:rPr>
            </w:pPr>
            <w:r w:rsidRPr="00B740CB">
              <w:t>Taux de TVA ou autres taxes incluses dans le tarif</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CDB1897" w14:textId="77777777" w:rsidR="00767DD4" w:rsidRPr="00B740CB" w:rsidRDefault="00767DD4" w:rsidP="00457E32">
            <w:pPr>
              <w:spacing w:before="40" w:after="40"/>
              <w:rPr>
                <w:rFonts w:cs="Arial"/>
              </w:rPr>
            </w:pPr>
          </w:p>
        </w:tc>
      </w:tr>
      <w:tr w:rsidR="00767DD4" w:rsidRPr="00B740CB" w14:paraId="46F8D2B3"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071C1F6F" w14:textId="77777777" w:rsidR="00767DD4" w:rsidRPr="00B740CB" w:rsidRDefault="00767DD4" w:rsidP="00457E32">
            <w:pPr>
              <w:spacing w:before="40" w:after="40"/>
              <w:rPr>
                <w:rFonts w:cs="Arial"/>
              </w:rPr>
            </w:pPr>
            <w:r w:rsidRPr="00B740CB">
              <w:t>Format/catégorie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CEE8F35" w14:textId="77777777" w:rsidR="00767DD4" w:rsidRPr="00B740CB" w:rsidRDefault="00767DD4" w:rsidP="00457E32">
            <w:pPr>
              <w:keepNext/>
              <w:keepLines/>
              <w:spacing w:before="40" w:after="40"/>
              <w:rPr>
                <w:rFonts w:cs="Arial"/>
              </w:rPr>
            </w:pPr>
          </w:p>
        </w:tc>
      </w:tr>
      <w:tr w:rsidR="00270106" w:rsidRPr="00B740CB" w14:paraId="3C99ECF5" w14:textId="77777777" w:rsidTr="002E7924">
        <w:trPr>
          <w:cantSplit/>
        </w:trPr>
        <w:tc>
          <w:tcPr>
            <w:tcW w:w="2646" w:type="pct"/>
            <w:tcBorders>
              <w:top w:val="single" w:sz="4" w:space="0" w:color="auto"/>
              <w:left w:val="single" w:sz="4" w:space="0" w:color="auto"/>
              <w:bottom w:val="nil"/>
              <w:right w:val="single" w:sz="4" w:space="0" w:color="auto"/>
            </w:tcBorders>
            <w:shd w:val="clear" w:color="auto" w:fill="auto"/>
          </w:tcPr>
          <w:p w14:paraId="52B7ECD3" w14:textId="77777777" w:rsidR="00270106" w:rsidRPr="00B740CB" w:rsidRDefault="00270106" w:rsidP="00457E32">
            <w:pPr>
              <w:spacing w:before="40" w:after="40"/>
              <w:rPr>
                <w:rFonts w:cs="Arial"/>
              </w:rPr>
            </w:pPr>
            <w:r w:rsidRPr="00B740CB">
              <w:t>Veuillez indiquer si l’un des éléments de service ci-contre est compris dans le service de base:</w:t>
            </w:r>
          </w:p>
        </w:tc>
        <w:tc>
          <w:tcPr>
            <w:tcW w:w="2354" w:type="pct"/>
            <w:tcBorders>
              <w:top w:val="single" w:sz="4" w:space="0" w:color="auto"/>
              <w:left w:val="single" w:sz="4" w:space="0" w:color="auto"/>
              <w:right w:val="single" w:sz="4" w:space="0" w:color="auto"/>
            </w:tcBorders>
            <w:shd w:val="clear" w:color="auto" w:fill="auto"/>
          </w:tcPr>
          <w:p w14:paraId="750545A6" w14:textId="77777777" w:rsidR="00270106" w:rsidRPr="00B740CB" w:rsidRDefault="00270106" w:rsidP="00457E32">
            <w:pPr>
              <w:spacing w:before="40" w:after="40"/>
              <w:rPr>
                <w:rFonts w:cs="Arial"/>
              </w:rPr>
            </w:pPr>
            <w:r w:rsidRPr="00B740CB">
              <w:t xml:space="preserve">Recommandation (remise contre signature </w:t>
            </w:r>
            <w:r w:rsidRPr="00B740CB">
              <w:br/>
              <w:t>et responsabilité)</w:t>
            </w:r>
          </w:p>
          <w:p w14:paraId="664DD9D4"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Oui</w:t>
            </w:r>
          </w:p>
          <w:p w14:paraId="53AA82D7"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Non</w:t>
            </w:r>
          </w:p>
          <w:p w14:paraId="4F6A505D" w14:textId="73979046" w:rsidR="00270106" w:rsidRPr="00B740CB" w:rsidRDefault="00270106" w:rsidP="003B74B8">
            <w:pPr>
              <w:tabs>
                <w:tab w:val="left" w:pos="4294"/>
              </w:tabs>
              <w:spacing w:before="40" w:after="40"/>
              <w:rPr>
                <w:rFonts w:cs="Arial"/>
                <w:u w:val="single"/>
              </w:rPr>
            </w:pPr>
            <w:r w:rsidRPr="00B740CB">
              <w:t>Tarif intérieur supplémentaire, si disponible:</w:t>
            </w:r>
            <w:r w:rsidR="003B74B8" w:rsidRPr="00B740CB">
              <w:rPr>
                <w:rFonts w:cs="Arial"/>
                <w:vertAlign w:val="superscript"/>
              </w:rPr>
              <w:t>22</w:t>
            </w:r>
            <w:r w:rsidRPr="00B740CB">
              <w:br/>
            </w:r>
            <w:r w:rsidRPr="00B740CB">
              <w:rPr>
                <w:u w:val="single"/>
              </w:rPr>
              <w:tab/>
            </w:r>
          </w:p>
        </w:tc>
      </w:tr>
      <w:tr w:rsidR="00270106" w:rsidRPr="00B740CB" w14:paraId="6924850F" w14:textId="77777777" w:rsidTr="002E7924">
        <w:trPr>
          <w:cantSplit/>
        </w:trPr>
        <w:tc>
          <w:tcPr>
            <w:tcW w:w="2646" w:type="pct"/>
            <w:tcBorders>
              <w:top w:val="nil"/>
              <w:left w:val="single" w:sz="4" w:space="0" w:color="auto"/>
              <w:bottom w:val="nil"/>
              <w:right w:val="single" w:sz="4" w:space="0" w:color="auto"/>
            </w:tcBorders>
            <w:shd w:val="clear" w:color="auto" w:fill="auto"/>
          </w:tcPr>
          <w:p w14:paraId="78243F6D" w14:textId="77777777" w:rsidR="00270106" w:rsidRPr="00B740CB" w:rsidRDefault="00270106" w:rsidP="005A73C0">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1A2434B" w14:textId="77777777" w:rsidR="00270106" w:rsidRPr="00B740CB" w:rsidRDefault="00270106" w:rsidP="00270106">
            <w:pPr>
              <w:spacing w:before="40" w:after="40"/>
              <w:rPr>
                <w:rFonts w:cs="Arial"/>
              </w:rPr>
            </w:pPr>
            <w:r w:rsidRPr="00B740CB">
              <w:t>Assurance</w:t>
            </w:r>
          </w:p>
          <w:p w14:paraId="68FC501D"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Oui</w:t>
            </w:r>
          </w:p>
          <w:p w14:paraId="329A4765"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Non</w:t>
            </w:r>
          </w:p>
          <w:p w14:paraId="63B1C5E1" w14:textId="77777777" w:rsidR="00270106" w:rsidRPr="00B740CB" w:rsidRDefault="00270106" w:rsidP="00270106">
            <w:pPr>
              <w:tabs>
                <w:tab w:val="left" w:pos="4322"/>
              </w:tabs>
              <w:spacing w:before="40" w:after="40"/>
              <w:rPr>
                <w:rFonts w:cs="Arial"/>
              </w:rPr>
            </w:pPr>
            <w:r w:rsidRPr="00B740CB">
              <w:t>Tarif intérieur supplémentaire, si disponible:</w:t>
            </w:r>
            <w:r w:rsidRPr="00B740CB">
              <w:rPr>
                <w:rStyle w:val="Appelnotedebasdep"/>
              </w:rPr>
              <w:footnoteReference w:id="24"/>
            </w:r>
            <w:r w:rsidRPr="00B740CB">
              <w:br/>
            </w:r>
            <w:r w:rsidRPr="00B740CB">
              <w:rPr>
                <w:i/>
                <w:iCs/>
                <w:u w:val="single"/>
              </w:rPr>
              <w:tab/>
            </w:r>
          </w:p>
        </w:tc>
      </w:tr>
      <w:tr w:rsidR="00270106" w:rsidRPr="00B740CB" w14:paraId="5F804167" w14:textId="77777777" w:rsidTr="002E7924">
        <w:trPr>
          <w:cantSplit/>
        </w:trPr>
        <w:tc>
          <w:tcPr>
            <w:tcW w:w="2646" w:type="pct"/>
            <w:tcBorders>
              <w:top w:val="nil"/>
              <w:left w:val="single" w:sz="4" w:space="0" w:color="auto"/>
              <w:bottom w:val="single" w:sz="4" w:space="0" w:color="auto"/>
              <w:right w:val="single" w:sz="4" w:space="0" w:color="auto"/>
            </w:tcBorders>
            <w:shd w:val="clear" w:color="auto" w:fill="auto"/>
          </w:tcPr>
          <w:p w14:paraId="39117CCC" w14:textId="77777777" w:rsidR="00270106" w:rsidRPr="00B740CB" w:rsidRDefault="00270106" w:rsidP="00457E32">
            <w:pPr>
              <w:spacing w:before="40" w:after="40"/>
            </w:pP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EED6A9C" w14:textId="77777777" w:rsidR="00270106" w:rsidRPr="00B740CB" w:rsidRDefault="00270106" w:rsidP="00270106">
            <w:pPr>
              <w:spacing w:before="40" w:after="40"/>
              <w:rPr>
                <w:rFonts w:cs="Arial"/>
              </w:rPr>
            </w:pPr>
            <w:r w:rsidRPr="00B740CB">
              <w:t>Suivi</w:t>
            </w:r>
          </w:p>
          <w:p w14:paraId="251FCDF9"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Oui</w:t>
            </w:r>
          </w:p>
          <w:p w14:paraId="502D8121" w14:textId="77777777" w:rsidR="00270106" w:rsidRPr="00B740CB" w:rsidRDefault="00270106" w:rsidP="00270106">
            <w:pPr>
              <w:spacing w:before="40" w:after="40"/>
              <w:ind w:left="319" w:hanging="319"/>
              <w:rPr>
                <w:rFonts w:cs="Arial"/>
              </w:rPr>
            </w:pPr>
            <w:r w:rsidRPr="00B740CB">
              <w:rPr>
                <w:sz w:val="24"/>
                <w:szCs w:val="24"/>
              </w:rPr>
              <w:sym w:font="Wingdings" w:char="F072"/>
            </w:r>
            <w:r w:rsidRPr="00B740CB">
              <w:tab/>
              <w:t>Non</w:t>
            </w:r>
          </w:p>
          <w:p w14:paraId="7CBFA740" w14:textId="6F18B535" w:rsidR="00270106" w:rsidRPr="00B740CB" w:rsidRDefault="00270106" w:rsidP="003B74B8">
            <w:pPr>
              <w:tabs>
                <w:tab w:val="left" w:pos="4322"/>
              </w:tabs>
              <w:spacing w:before="40" w:after="40"/>
              <w:rPr>
                <w:rFonts w:cs="Arial"/>
              </w:rPr>
            </w:pPr>
            <w:r w:rsidRPr="00B740CB">
              <w:t>Tarif intérieur supplémentaire, si disponible:</w:t>
            </w:r>
            <w:r w:rsidR="003B74B8" w:rsidRPr="00B740CB">
              <w:rPr>
                <w:vertAlign w:val="superscript"/>
              </w:rPr>
              <w:t>22</w:t>
            </w:r>
            <w:r w:rsidRPr="00B740CB">
              <w:br/>
            </w:r>
            <w:r w:rsidRPr="00B740CB">
              <w:rPr>
                <w:i/>
                <w:iCs/>
                <w:u w:val="single"/>
              </w:rPr>
              <w:tab/>
            </w:r>
          </w:p>
        </w:tc>
      </w:tr>
      <w:tr w:rsidR="00767DD4" w:rsidRPr="00B740CB" w14:paraId="5D4F2EEB"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5659EFB2" w14:textId="77777777" w:rsidR="00767DD4" w:rsidRPr="00B740CB" w:rsidRDefault="00767DD4" w:rsidP="00457E32">
            <w:pPr>
              <w:spacing w:before="40" w:after="40"/>
              <w:rPr>
                <w:rFonts w:cs="Arial"/>
              </w:rPr>
            </w:pPr>
            <w:r w:rsidRPr="00B740CB">
              <w:t>Nom du produit dans le cadre du service intérieur</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34D735A" w14:textId="77777777" w:rsidR="00767DD4" w:rsidRPr="00B740CB" w:rsidRDefault="00767DD4" w:rsidP="00457E32">
            <w:pPr>
              <w:spacing w:before="40" w:after="40"/>
              <w:rPr>
                <w:rFonts w:cs="Arial"/>
              </w:rPr>
            </w:pPr>
          </w:p>
        </w:tc>
      </w:tr>
      <w:tr w:rsidR="00767DD4" w:rsidRPr="00B740CB" w14:paraId="1F875E9C"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230B826" w14:textId="77777777" w:rsidR="00767DD4" w:rsidRPr="00B740CB" w:rsidRDefault="00767DD4" w:rsidP="00457E32">
            <w:pPr>
              <w:spacing w:before="40" w:after="40"/>
              <w:rPr>
                <w:rFonts w:cs="Arial"/>
              </w:rPr>
            </w:pPr>
            <w:r w:rsidRPr="00B740CB">
              <w:t>Dimensions maximales: largeur–longueur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52158B21" w14:textId="77777777" w:rsidR="00767DD4" w:rsidRPr="00B740CB" w:rsidRDefault="00767DD4" w:rsidP="00457E32">
            <w:pPr>
              <w:spacing w:before="40" w:after="40"/>
              <w:rPr>
                <w:rFonts w:cs="Arial"/>
              </w:rPr>
            </w:pPr>
          </w:p>
        </w:tc>
      </w:tr>
      <w:tr w:rsidR="00767DD4" w:rsidRPr="00B740CB" w14:paraId="29B6074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2745568C" w14:textId="77777777" w:rsidR="00767DD4" w:rsidRPr="00B740CB" w:rsidRDefault="00767DD4" w:rsidP="00457E32">
            <w:pPr>
              <w:spacing w:before="40" w:after="40"/>
              <w:rPr>
                <w:rFonts w:cs="Arial"/>
              </w:rPr>
            </w:pPr>
            <w:r w:rsidRPr="00B740CB">
              <w:t>Épaisseur maximale (en mm)</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A160477" w14:textId="77777777" w:rsidR="00767DD4" w:rsidRPr="00B740CB" w:rsidRDefault="00767DD4" w:rsidP="00457E32">
            <w:pPr>
              <w:spacing w:before="40" w:after="40"/>
              <w:rPr>
                <w:rFonts w:cs="Arial"/>
              </w:rPr>
            </w:pPr>
          </w:p>
        </w:tc>
      </w:tr>
      <w:tr w:rsidR="00767DD4" w:rsidRPr="00F0674E" w14:paraId="6C629BC6" w14:textId="77777777" w:rsidTr="002E7924">
        <w:trPr>
          <w:cantSplit/>
        </w:trPr>
        <w:tc>
          <w:tcPr>
            <w:tcW w:w="2646" w:type="pct"/>
            <w:tcBorders>
              <w:top w:val="single" w:sz="4" w:space="0" w:color="auto"/>
              <w:left w:val="single" w:sz="4" w:space="0" w:color="auto"/>
              <w:bottom w:val="single" w:sz="4" w:space="0" w:color="auto"/>
              <w:right w:val="single" w:sz="4" w:space="0" w:color="auto"/>
            </w:tcBorders>
            <w:shd w:val="clear" w:color="auto" w:fill="auto"/>
          </w:tcPr>
          <w:p w14:paraId="764B107E" w14:textId="77777777" w:rsidR="00767DD4" w:rsidRPr="00F0674E" w:rsidRDefault="00767DD4" w:rsidP="00457E32">
            <w:pPr>
              <w:spacing w:before="40" w:after="40"/>
              <w:rPr>
                <w:rFonts w:cs="Arial"/>
              </w:rPr>
            </w:pPr>
            <w:r w:rsidRPr="00B740CB">
              <w:t>Adresse du site Web sur lequel ces informations peuvent être consultées</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8C4AE61" w14:textId="77777777" w:rsidR="00767DD4" w:rsidRPr="00F0674E" w:rsidRDefault="00767DD4" w:rsidP="00457E32">
            <w:pPr>
              <w:spacing w:before="40" w:after="40"/>
              <w:rPr>
                <w:rFonts w:cs="Arial"/>
              </w:rPr>
            </w:pPr>
          </w:p>
        </w:tc>
      </w:tr>
    </w:tbl>
    <w:p w14:paraId="1DFEE149" w14:textId="77777777" w:rsidR="00767DD4" w:rsidRPr="00270106" w:rsidRDefault="00767DD4" w:rsidP="00767DD4">
      <w:pPr>
        <w:pStyle w:val="Titre1"/>
        <w:ind w:left="0" w:firstLine="0"/>
        <w:rPr>
          <w:b w:val="0"/>
          <w:bCs w:val="0"/>
        </w:rPr>
      </w:pPr>
    </w:p>
    <w:sectPr w:rsidR="00767DD4" w:rsidRPr="00270106" w:rsidSect="009A2BBC">
      <w:headerReference w:type="even" r:id="rId14"/>
      <w:headerReference w:type="default" r:id="rId15"/>
      <w:headerReference w:type="first" r:id="rId16"/>
      <w:endnotePr>
        <w:numFmt w:val="decimal"/>
      </w:endnotePr>
      <w:pgSz w:w="11907" w:h="16840" w:code="9"/>
      <w:pgMar w:top="1134" w:right="851" w:bottom="1021"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A51A" w14:textId="77777777" w:rsidR="00615BC0" w:rsidRDefault="00615BC0">
      <w:pPr>
        <w:spacing w:after="120"/>
        <w:rPr>
          <w:sz w:val="18"/>
        </w:rPr>
      </w:pPr>
      <w:r>
        <w:rPr>
          <w:sz w:val="18"/>
        </w:rPr>
        <w:t>____________</w:t>
      </w:r>
    </w:p>
  </w:endnote>
  <w:endnote w:type="continuationSeparator" w:id="0">
    <w:p w14:paraId="0A5CB575" w14:textId="77777777" w:rsidR="00615BC0" w:rsidRDefault="0061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45 Helvetica Light">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00988" w14:textId="77777777" w:rsidR="00615BC0" w:rsidRDefault="00615BC0" w:rsidP="009E7ADC">
      <w:pPr>
        <w:rPr>
          <w:sz w:val="18"/>
        </w:rPr>
      </w:pPr>
    </w:p>
  </w:footnote>
  <w:footnote w:type="continuationSeparator" w:id="0">
    <w:p w14:paraId="3C3A7A1A" w14:textId="77777777" w:rsidR="00615BC0" w:rsidRPr="00252BCD" w:rsidRDefault="00615BC0" w:rsidP="009E7ADC">
      <w:pPr>
        <w:rPr>
          <w:sz w:val="18"/>
          <w:szCs w:val="18"/>
        </w:rPr>
      </w:pPr>
    </w:p>
  </w:footnote>
  <w:footnote w:type="continuationNotice" w:id="1">
    <w:p w14:paraId="50FE4434" w14:textId="77777777" w:rsidR="00615BC0" w:rsidRPr="00252BCD" w:rsidRDefault="00615BC0" w:rsidP="004E2B3B">
      <w:pPr>
        <w:rPr>
          <w:sz w:val="18"/>
          <w:szCs w:val="18"/>
        </w:rPr>
      </w:pPr>
    </w:p>
  </w:footnote>
  <w:footnote w:id="2">
    <w:p w14:paraId="049C41E5" w14:textId="106A3ED2" w:rsidR="001D34C2" w:rsidRPr="00300E9B" w:rsidRDefault="001D34C2" w:rsidP="00300E9B">
      <w:pPr>
        <w:spacing w:line="220" w:lineRule="atLeast"/>
        <w:jc w:val="both"/>
        <w:rPr>
          <w:sz w:val="18"/>
          <w:szCs w:val="18"/>
        </w:rPr>
      </w:pPr>
      <w:r w:rsidRPr="00B740CB">
        <w:rPr>
          <w:rStyle w:val="Appelnotedebasdep"/>
        </w:rPr>
        <w:footnoteRef/>
      </w:r>
      <w:r w:rsidRPr="00B740CB">
        <w:rPr>
          <w:lang w:val="fr-CH"/>
        </w:rPr>
        <w:t xml:space="preserve"> </w:t>
      </w:r>
      <w:r w:rsidR="0034252F" w:rsidRPr="00B740CB">
        <w:rPr>
          <w:rFonts w:cs="Arial"/>
          <w:sz w:val="18"/>
          <w:szCs w:val="18"/>
        </w:rPr>
        <w:t>Pour les opérateurs désignés qui ne choisissent pas d’autodéclarer leurs taux pour les petits paquets (E) de la poste aux lettres, ces taux sont fixés conformément à l’article 30.6 de la Convention.</w:t>
      </w:r>
    </w:p>
  </w:footnote>
  <w:footnote w:id="3">
    <w:p w14:paraId="458B5EE0" w14:textId="2A3926A6" w:rsidR="00615BC0" w:rsidRPr="002E7924" w:rsidRDefault="00615BC0" w:rsidP="00E93B97">
      <w:pPr>
        <w:pStyle w:val="Notedebasdepage"/>
        <w:spacing w:line="220" w:lineRule="atLeast"/>
      </w:pPr>
      <w:r w:rsidRPr="002E7924">
        <w:rPr>
          <w:rStyle w:val="Appelnotedebasdep"/>
        </w:rPr>
        <w:footnoteRef/>
      </w:r>
      <w:r w:rsidRPr="002E7924">
        <w:t xml:space="preserve"> Conformément à l’article </w:t>
      </w:r>
      <w:r w:rsidR="001D34C2">
        <w:t>30-101</w:t>
      </w:r>
      <w:r w:rsidRPr="002E7924">
        <w:t xml:space="preserve"> du Règlement de la Convention, si l’opérateur désigné choisit d’appliquer la méthode de distance moyenne aux tarifications par zone, la distance moyenne accompagnée des données justificatives doit être communiquée avant ou avec la déclaration officielle.</w:t>
      </w:r>
    </w:p>
  </w:footnote>
  <w:footnote w:id="4">
    <w:p w14:paraId="0EC38501" w14:textId="1F232876" w:rsidR="00615BC0" w:rsidRPr="002E7924" w:rsidRDefault="00615BC0" w:rsidP="00792EEC">
      <w:pPr>
        <w:pStyle w:val="Notedebasdepage"/>
        <w:spacing w:line="220" w:lineRule="atLeast"/>
      </w:pPr>
      <w:r w:rsidRPr="002E7924">
        <w:rPr>
          <w:rStyle w:val="Appelnotedebasdep"/>
        </w:rPr>
        <w:footnoteRef/>
      </w:r>
      <w:r w:rsidRPr="002E7924">
        <w:t xml:space="preserve"> Veuillez seulement indiquer le «tarif intérieur supplémentaire» si le service intérieur et le tarif correspondant intègrent des éléments de service supplémentaires, à savoir le suivi, la remise contre signature ou l’assurance, et si le montant pour ces éléments de service est spécifié séparément du taux de base</w:t>
      </w:r>
      <w:r w:rsidR="00176BFE">
        <w:t xml:space="preserve"> (v. </w:t>
      </w:r>
      <w:r w:rsidR="001D34C2">
        <w:t>art. 30</w:t>
      </w:r>
      <w:r w:rsidR="003D7E0B">
        <w:t>.1.6.4</w:t>
      </w:r>
      <w:r w:rsidR="00176BFE">
        <w:t xml:space="preserve"> de la Convention</w:t>
      </w:r>
      <w:r w:rsidRPr="002E7924">
        <w:t xml:space="preserve"> pour plus de précisions</w:t>
      </w:r>
      <w:r w:rsidR="00176BFE">
        <w:t>)</w:t>
      </w:r>
      <w:r w:rsidRPr="002E7924">
        <w:t>.</w:t>
      </w:r>
    </w:p>
  </w:footnote>
  <w:footnote w:id="5">
    <w:p w14:paraId="7DD231BB" w14:textId="795025A4" w:rsidR="00615BC0" w:rsidRPr="002E7924" w:rsidRDefault="00615BC0" w:rsidP="00792EEC">
      <w:pPr>
        <w:pStyle w:val="Notedebasdepage"/>
        <w:spacing w:line="220" w:lineRule="atLeast"/>
      </w:pPr>
      <w:r w:rsidRPr="002E7924">
        <w:rPr>
          <w:rStyle w:val="Appelnotedebasdep"/>
        </w:rPr>
        <w:footnoteRef/>
      </w:r>
      <w:r w:rsidRPr="002E7924">
        <w:t xml:space="preserve"> Conformément à l’article </w:t>
      </w:r>
      <w:r w:rsidR="003D7E0B">
        <w:t>30-101</w:t>
      </w:r>
      <w:r w:rsidRPr="002E7924">
        <w:t xml:space="preserve"> du Règlement de la Convention, si l’opérateur désigné choisit d’appliquer la méthode de distance moyenne aux tarifications par zone, la distance moyenne accompagnée des données justificatives doit être communiquée avant ou avec la déclaration officielle.</w:t>
      </w:r>
    </w:p>
  </w:footnote>
  <w:footnote w:id="6">
    <w:p w14:paraId="03CABFE2" w14:textId="00E7B16D" w:rsidR="00615BC0" w:rsidRPr="002E7924" w:rsidRDefault="00615BC0" w:rsidP="00792EEC">
      <w:pPr>
        <w:pStyle w:val="Notedebasdepage"/>
        <w:spacing w:line="220" w:lineRule="atLeast"/>
      </w:pPr>
      <w:r w:rsidRPr="002E7924">
        <w:rPr>
          <w:rStyle w:val="Appelnotedebasdep"/>
        </w:rPr>
        <w:footnoteRef/>
      </w:r>
      <w:r w:rsidRPr="002E7924">
        <w:t xml:space="preserve"> Veuillez seulement indiquer le «tarif intérieur supplémentaire» si le service intérieur et le tarif correspondant intègrent des éléments de service supplémentaires, à savoir le suivi, la remise contre signature ou l’assurance, et si le montant pour ces éléments de service est spécifié séparément du taux de base</w:t>
      </w:r>
      <w:r w:rsidR="00176BFE">
        <w:t xml:space="preserve"> (v. art. </w:t>
      </w:r>
      <w:r w:rsidR="003D7E0B">
        <w:t>30.1.6.4</w:t>
      </w:r>
      <w:r w:rsidR="00176BFE">
        <w:t xml:space="preserve"> de la Convention</w:t>
      </w:r>
      <w:r w:rsidRPr="002E7924">
        <w:t xml:space="preserve"> pour plus de précisions</w:t>
      </w:r>
      <w:r w:rsidR="00176BFE">
        <w:t>)</w:t>
      </w:r>
      <w:r w:rsidRPr="002E7924">
        <w:t>.</w:t>
      </w:r>
    </w:p>
  </w:footnote>
  <w:footnote w:id="7">
    <w:p w14:paraId="142FF8C7" w14:textId="64E3290D" w:rsidR="00615BC0" w:rsidRPr="002E7924" w:rsidRDefault="00615BC0" w:rsidP="001D56B1">
      <w:pPr>
        <w:pStyle w:val="Notedebasdepage"/>
        <w:spacing w:line="220" w:lineRule="atLeast"/>
      </w:pPr>
      <w:r w:rsidRPr="002E7924">
        <w:rPr>
          <w:rStyle w:val="Appelnotedebasdep"/>
        </w:rPr>
        <w:footnoteRef/>
      </w:r>
      <w:r w:rsidRPr="002E7924">
        <w:t xml:space="preserve"> Conformément à l’article </w:t>
      </w:r>
      <w:r w:rsidR="003D7E0B">
        <w:t>30-101</w:t>
      </w:r>
      <w:r w:rsidRPr="002E7924">
        <w:t xml:space="preserve"> du Règlement de la Convention, si l’opérateur désigné choisit d’appliquer la méthode de distance moyenne aux tarifications par zone, la distance moyenne accompagnée des données justificatives doit être communiquée avant ou avec la déclaration officielle.</w:t>
      </w:r>
    </w:p>
  </w:footnote>
  <w:footnote w:id="8">
    <w:p w14:paraId="0F679C33" w14:textId="630ACE20" w:rsidR="00615BC0" w:rsidRPr="002E7924" w:rsidRDefault="00615BC0" w:rsidP="00792EEC">
      <w:pPr>
        <w:pStyle w:val="Notedebasdepage"/>
        <w:spacing w:line="220" w:lineRule="atLeast"/>
      </w:pPr>
      <w:r w:rsidRPr="002E7924">
        <w:rPr>
          <w:rStyle w:val="Appelnotedebasdep"/>
        </w:rPr>
        <w:footnoteRef/>
      </w:r>
      <w:r w:rsidRPr="002E7924">
        <w:t xml:space="preserve"> Veuillez seulement indiquer le «tarif intérieur supplémentaire» si le service intérieur et le tarif correspondant intègrent des éléments de service supplémentaires, à savoir le suivi, la remise contre signature ou l’assurance, et si le montant pour ces éléments de service est spécifié séparément du taux de base</w:t>
      </w:r>
      <w:r w:rsidR="00133438">
        <w:t xml:space="preserve"> (v. art. 30.1.6.4 de la Convention</w:t>
      </w:r>
      <w:r w:rsidR="00133438" w:rsidRPr="002E7924">
        <w:t xml:space="preserve"> pour plus de précisions</w:t>
      </w:r>
      <w:r w:rsidR="00133438">
        <w:t>)</w:t>
      </w:r>
      <w:r w:rsidR="00133438" w:rsidRPr="002E7924">
        <w:t>.</w:t>
      </w:r>
    </w:p>
  </w:footnote>
  <w:footnote w:id="9">
    <w:p w14:paraId="14E002F5" w14:textId="79AAC99C" w:rsidR="00615BC0" w:rsidRPr="002E7924" w:rsidRDefault="00615BC0" w:rsidP="00792EEC">
      <w:pPr>
        <w:pStyle w:val="Notedebasdepage"/>
        <w:spacing w:line="220" w:lineRule="atLeast"/>
      </w:pPr>
      <w:r w:rsidRPr="002E7924">
        <w:rPr>
          <w:rStyle w:val="Appelnotedebasdep"/>
        </w:rPr>
        <w:footnoteRef/>
      </w:r>
      <w:r w:rsidRPr="002E7924">
        <w:t xml:space="preserve"> Conformément à l’article </w:t>
      </w:r>
      <w:r w:rsidR="003D7E0B">
        <w:t>30-101</w:t>
      </w:r>
      <w:r w:rsidRPr="002E7924">
        <w:t xml:space="preserve"> du Règlement de la Convention, si l’opérateur désigné choisit d’appliquer la méthode de distance moyenne aux tarifications par zone, la distance moyenne accompagnée des données justificatives doit être communiquée avant ou avec la déclaration officielle.</w:t>
      </w:r>
    </w:p>
  </w:footnote>
  <w:footnote w:id="10">
    <w:p w14:paraId="70DE2DD8" w14:textId="5C244AD8" w:rsidR="00615BC0" w:rsidRPr="002E7924" w:rsidRDefault="00615BC0" w:rsidP="00792EEC">
      <w:pPr>
        <w:pStyle w:val="Notedebasdepage"/>
        <w:spacing w:line="220" w:lineRule="atLeast"/>
      </w:pPr>
      <w:r w:rsidRPr="002E7924">
        <w:rPr>
          <w:rStyle w:val="Appelnotedebasdep"/>
        </w:rPr>
        <w:footnoteRef/>
      </w:r>
      <w:r w:rsidRPr="002E7924">
        <w:t xml:space="preserve"> Veuillez seulement indiquer le «tarif intérieur supplémentaire» si le service intérieur et le tarif correspondant intègrent des éléments de service supplémentaires, à savoir le suivi, la remise contre signature ou l’assurance, et si le montant pour ces éléments de service est spécifié séparément du taux de base</w:t>
      </w:r>
      <w:r w:rsidR="008B2D50">
        <w:t xml:space="preserve"> (v. art. 30.1.6.4 de la Convention</w:t>
      </w:r>
      <w:r w:rsidR="008B2D50" w:rsidRPr="002E7924">
        <w:t xml:space="preserve"> pour plus de précisions</w:t>
      </w:r>
      <w:r w:rsidR="008B2D50">
        <w:t>)</w:t>
      </w:r>
      <w:r w:rsidRPr="002E7924">
        <w:t>.</w:t>
      </w:r>
    </w:p>
  </w:footnote>
  <w:footnote w:id="11">
    <w:p w14:paraId="1691A431" w14:textId="28056979" w:rsidR="00615BC0" w:rsidRPr="002E7924" w:rsidRDefault="00615BC0" w:rsidP="00792EEC">
      <w:pPr>
        <w:pStyle w:val="Notedebasdepage"/>
        <w:spacing w:line="220" w:lineRule="atLeast"/>
      </w:pPr>
      <w:r w:rsidRPr="002E7924">
        <w:rPr>
          <w:rStyle w:val="Appelnotedebasdep"/>
        </w:rPr>
        <w:footnoteRef/>
      </w:r>
      <w:r w:rsidRPr="002E7924">
        <w:t xml:space="preserve"> Conformément à l’article </w:t>
      </w:r>
      <w:r w:rsidR="00674F9B">
        <w:t>30-101</w:t>
      </w:r>
      <w:r w:rsidRPr="002E7924">
        <w:t xml:space="preserve"> du Règlement de la Convention, si l’opérateur désigné choisit d’appliquer la méthode de distance moyenne aux tarifications par zone, la distance moyenne accompagnée des données justificatives doit être communiquée avant ou avec la déclaration officielle.</w:t>
      </w:r>
    </w:p>
  </w:footnote>
  <w:footnote w:id="12">
    <w:p w14:paraId="6C54B4DA" w14:textId="635118D3" w:rsidR="00615BC0" w:rsidRPr="002E7924" w:rsidRDefault="00615BC0" w:rsidP="00792EEC">
      <w:pPr>
        <w:pStyle w:val="Notedebasdepage"/>
        <w:spacing w:line="220" w:lineRule="atLeast"/>
      </w:pPr>
      <w:r w:rsidRPr="002E7924">
        <w:rPr>
          <w:rStyle w:val="Appelnotedebasdep"/>
        </w:rPr>
        <w:footnoteRef/>
      </w:r>
      <w:r w:rsidRPr="002E7924">
        <w:t xml:space="preserve"> Veuillez seulement indiquer le «tarif intérieur supplémentaire» si le service intérieur et le tarif correspondant intègrent des éléments de service supplémentaires, à savoir le suivi, la remise contre signature ou l’assurance, et si le montant pour ces éléments de service est spécifié séparément du taux de base</w:t>
      </w:r>
      <w:r w:rsidR="008B2D50">
        <w:t xml:space="preserve"> (v. art. 30.1.6.4 de la Convention</w:t>
      </w:r>
      <w:r w:rsidR="008B2D50" w:rsidRPr="002E7924">
        <w:t xml:space="preserve"> pour plus de précisions</w:t>
      </w:r>
      <w:r w:rsidR="008B2D50">
        <w:t>)</w:t>
      </w:r>
      <w:r w:rsidRPr="002E7924">
        <w:t>.</w:t>
      </w:r>
    </w:p>
  </w:footnote>
  <w:footnote w:id="13">
    <w:p w14:paraId="08AB1339" w14:textId="72AC0DE9" w:rsidR="00615BC0" w:rsidRPr="002E7924" w:rsidRDefault="00615BC0" w:rsidP="00792EEC">
      <w:pPr>
        <w:pStyle w:val="Notedebasdepage"/>
        <w:spacing w:line="220" w:lineRule="atLeast"/>
      </w:pPr>
      <w:r w:rsidRPr="002E7924">
        <w:rPr>
          <w:rStyle w:val="Appelnotedebasdep"/>
        </w:rPr>
        <w:footnoteRef/>
      </w:r>
      <w:r w:rsidRPr="002E7924">
        <w:t xml:space="preserve"> Conformément à l’article </w:t>
      </w:r>
      <w:r w:rsidR="00674F9B">
        <w:t>30-101</w:t>
      </w:r>
      <w:r w:rsidRPr="002E7924">
        <w:t xml:space="preserve"> du Règlement de la Convention, si l’opérateur désigné choisit d’appliquer la méthode de distance moyenne aux tarifications par zone, la distance moyenne accompagnée des données justificatives doit être communiquée avant ou avec la déclaration officielle.</w:t>
      </w:r>
    </w:p>
  </w:footnote>
  <w:footnote w:id="14">
    <w:p w14:paraId="260D2748" w14:textId="2ED874FB" w:rsidR="00615BC0" w:rsidRPr="002E7924" w:rsidRDefault="00615BC0" w:rsidP="00792EEC">
      <w:pPr>
        <w:pStyle w:val="Notedebasdepage"/>
        <w:spacing w:line="220" w:lineRule="atLeast"/>
      </w:pPr>
      <w:r w:rsidRPr="002E7924">
        <w:rPr>
          <w:rStyle w:val="Appelnotedebasdep"/>
        </w:rPr>
        <w:footnoteRef/>
      </w:r>
      <w:r w:rsidRPr="002E7924">
        <w:t xml:space="preserve"> Veuillez seulement indiquer le «tarif intérieur supplémentaire» si le service intérieur et le tarif correspondant intègrent des éléments de service supplémentaires, à savoir le suivi, la remise contre signature ou l’assurance, et si le montant pour ces éléments de service est spécifié séparément du taux de base</w:t>
      </w:r>
      <w:r w:rsidR="008B2D50">
        <w:t xml:space="preserve"> (v. art. 30.1.6.4 de la Convention</w:t>
      </w:r>
      <w:r w:rsidR="008B2D50" w:rsidRPr="002E7924">
        <w:t xml:space="preserve"> pour plus de précisions</w:t>
      </w:r>
      <w:r w:rsidR="008B2D50">
        <w:t>)</w:t>
      </w:r>
      <w:r w:rsidR="008B2D50" w:rsidRPr="002E7924">
        <w:t>.</w:t>
      </w:r>
    </w:p>
  </w:footnote>
  <w:footnote w:id="15">
    <w:p w14:paraId="61A8CA20" w14:textId="6DC5E8A7" w:rsidR="00615BC0" w:rsidRPr="002E7924" w:rsidRDefault="00615BC0" w:rsidP="001D56B1">
      <w:pPr>
        <w:pStyle w:val="Notedebasdepage"/>
        <w:spacing w:line="220" w:lineRule="atLeast"/>
      </w:pPr>
      <w:r w:rsidRPr="002E7924">
        <w:rPr>
          <w:rStyle w:val="Appelnotedebasdep"/>
        </w:rPr>
        <w:footnoteRef/>
      </w:r>
      <w:r w:rsidRPr="002E7924">
        <w:t xml:space="preserve"> Conformément à l’article </w:t>
      </w:r>
      <w:r w:rsidR="00674F9B">
        <w:t>30-101</w:t>
      </w:r>
      <w:r w:rsidRPr="002E7924">
        <w:t xml:space="preserve"> du Règlement de la Convention, si l’opérateur désigné choisit d’appliquer la méthode de distance moyenne aux tarifications par zone, la distance moyenne accompagnée des données justificatives doit être communiquée avant ou avec la déclaration officielle.</w:t>
      </w:r>
    </w:p>
  </w:footnote>
  <w:footnote w:id="16">
    <w:p w14:paraId="235F06B8" w14:textId="5BD3F75F" w:rsidR="00615BC0" w:rsidRPr="002E7924" w:rsidRDefault="00615BC0" w:rsidP="00792EEC">
      <w:pPr>
        <w:pStyle w:val="Notedebasdepage"/>
        <w:spacing w:line="220" w:lineRule="atLeast"/>
      </w:pPr>
      <w:r w:rsidRPr="002E7924">
        <w:rPr>
          <w:rStyle w:val="Appelnotedebasdep"/>
        </w:rPr>
        <w:footnoteRef/>
      </w:r>
      <w:r w:rsidRPr="002E7924">
        <w:t xml:space="preserve"> Veuillez seulement indiquer le «tarif intérieur supplémentaire» si le service intérieur et le tarif correspondant intègrent des éléments de service supplémentaires, à savoir le suivi, la remise contre signature ou l’assurance, et si le montant pour ces éléments de service est spécifié séparément du taux de base</w:t>
      </w:r>
      <w:r w:rsidR="008B2D50">
        <w:t xml:space="preserve"> (v. art. 30.1.6.4 de la Convention</w:t>
      </w:r>
      <w:r w:rsidR="008B2D50" w:rsidRPr="002E7924">
        <w:t xml:space="preserve"> pour plus de précisions</w:t>
      </w:r>
      <w:r w:rsidR="008B2D50">
        <w:t>)</w:t>
      </w:r>
      <w:r w:rsidRPr="002E7924">
        <w:t>.</w:t>
      </w:r>
    </w:p>
  </w:footnote>
  <w:footnote w:id="17">
    <w:p w14:paraId="0F917333" w14:textId="29FF6F43" w:rsidR="00615BC0" w:rsidRPr="002E7924" w:rsidRDefault="00615BC0" w:rsidP="001D56B1">
      <w:pPr>
        <w:pStyle w:val="Notedebasdepage"/>
        <w:spacing w:line="220" w:lineRule="atLeast"/>
      </w:pPr>
      <w:r w:rsidRPr="002E7924">
        <w:rPr>
          <w:rStyle w:val="Appelnotedebasdep"/>
        </w:rPr>
        <w:footnoteRef/>
      </w:r>
      <w:r w:rsidRPr="002E7924">
        <w:t xml:space="preserve"> Conformément à l’article </w:t>
      </w:r>
      <w:r w:rsidR="00674F9B">
        <w:t>30-101</w:t>
      </w:r>
      <w:r w:rsidRPr="002E7924">
        <w:t xml:space="preserve"> du Règlement de la Convention, si l’opérateur désigné choisit d’appliquer la méthode de distance moyenne aux tarifications par zone, la distance moyenne accompagnée des données justificatives doit être communiquée avant ou avec la déclaration officielle.</w:t>
      </w:r>
    </w:p>
  </w:footnote>
  <w:footnote w:id="18">
    <w:p w14:paraId="59FD2166" w14:textId="6C5F95B7" w:rsidR="00615BC0" w:rsidRPr="002E7924" w:rsidRDefault="00615BC0" w:rsidP="004E5C56">
      <w:pPr>
        <w:pStyle w:val="Notedebasdepage"/>
        <w:spacing w:line="220" w:lineRule="atLeast"/>
      </w:pPr>
      <w:r w:rsidRPr="002E7924">
        <w:rPr>
          <w:rStyle w:val="Appelnotedebasdep"/>
        </w:rPr>
        <w:footnoteRef/>
      </w:r>
      <w:r w:rsidRPr="002E7924">
        <w:t xml:space="preserve"> Veuillez seulement indiquer le «tarif intérieur supplémentaire» si le service intérieur et le tarif correspondant intègrent des éléments de service supplémentaires, à savoir le suivi, la remise contre signature ou l’assurance, et si le montant pour ces éléments de service est spécifié séparément du taux de base</w:t>
      </w:r>
      <w:r w:rsidR="008B2D50">
        <w:t xml:space="preserve"> (v. art. 30.1.6.4 de la Convention</w:t>
      </w:r>
      <w:r w:rsidR="008B2D50" w:rsidRPr="002E7924">
        <w:t xml:space="preserve"> pour plus de précisions</w:t>
      </w:r>
      <w:r w:rsidR="008B2D50">
        <w:t>)</w:t>
      </w:r>
      <w:r w:rsidRPr="002E7924">
        <w:t>.</w:t>
      </w:r>
    </w:p>
  </w:footnote>
  <w:footnote w:id="19">
    <w:p w14:paraId="5EF736E5" w14:textId="7EFA6F2B" w:rsidR="00615BC0" w:rsidRPr="002E7924" w:rsidRDefault="00615BC0" w:rsidP="001D56B1">
      <w:pPr>
        <w:pStyle w:val="Notedebasdepage"/>
        <w:spacing w:line="220" w:lineRule="atLeast"/>
      </w:pPr>
      <w:r w:rsidRPr="002E7924">
        <w:rPr>
          <w:rStyle w:val="Appelnotedebasdep"/>
        </w:rPr>
        <w:footnoteRef/>
      </w:r>
      <w:r w:rsidRPr="002E7924">
        <w:t xml:space="preserve"> Conformément à l’article </w:t>
      </w:r>
      <w:r w:rsidR="00674F9B">
        <w:t>30-101</w:t>
      </w:r>
      <w:r w:rsidRPr="002E7924">
        <w:t xml:space="preserve"> du Règlement de la Convention, si l’opérateur désigné choisit d’appliquer la méthode de distance moyenne aux tarifications par zone, la distance moyenne accompagnée des données justificatives doit être communiquée avant ou avec la déclaration officielle.</w:t>
      </w:r>
    </w:p>
  </w:footnote>
  <w:footnote w:id="20">
    <w:p w14:paraId="4D01DE29" w14:textId="6C2C1155" w:rsidR="00615BC0" w:rsidRPr="002E7924" w:rsidRDefault="00615BC0" w:rsidP="00C444C0">
      <w:pPr>
        <w:pStyle w:val="Notedebasdepage"/>
        <w:spacing w:line="220" w:lineRule="atLeast"/>
      </w:pPr>
      <w:r w:rsidRPr="002E7924">
        <w:rPr>
          <w:rStyle w:val="Appelnotedebasdep"/>
        </w:rPr>
        <w:footnoteRef/>
      </w:r>
      <w:r w:rsidRPr="002E7924">
        <w:t xml:space="preserve"> Veuillez seulement indiquer le «tarif intérieur supplémentaire» si le service intérieur et le tarif correspondant intègrent des éléments de service supplémentaires, à savoir le suivi, la remise contre signature ou l’assurance, et si le montant pour ces éléments de service est spécifié séparément du taux de base</w:t>
      </w:r>
      <w:r w:rsidR="0056318E">
        <w:t xml:space="preserve"> (v. art. 30.1.6.4 de la Convention</w:t>
      </w:r>
      <w:r w:rsidR="0056318E" w:rsidRPr="002E7924">
        <w:t xml:space="preserve"> pour plus de précisions</w:t>
      </w:r>
      <w:r w:rsidR="0056318E">
        <w:t>)</w:t>
      </w:r>
      <w:r w:rsidRPr="002E7924">
        <w:t>.</w:t>
      </w:r>
    </w:p>
  </w:footnote>
  <w:footnote w:id="21">
    <w:p w14:paraId="5BB4A51B" w14:textId="48227612" w:rsidR="00615BC0" w:rsidRPr="002E7924" w:rsidRDefault="00615BC0" w:rsidP="001D56B1">
      <w:pPr>
        <w:pStyle w:val="Notedebasdepage"/>
        <w:spacing w:line="220" w:lineRule="atLeast"/>
      </w:pPr>
      <w:r w:rsidRPr="002E7924">
        <w:rPr>
          <w:rStyle w:val="Appelnotedebasdep"/>
        </w:rPr>
        <w:footnoteRef/>
      </w:r>
      <w:r w:rsidRPr="002E7924">
        <w:t xml:space="preserve"> Conformément à l’article </w:t>
      </w:r>
      <w:r w:rsidR="00D63811">
        <w:t>30-101</w:t>
      </w:r>
      <w:r w:rsidRPr="002E7924">
        <w:t xml:space="preserve"> du Règlement de la Convention, si l’opérateur désigné choisit d’appliquer la méthode de distance moyenne aux tarifications par zone, la distance moyenne accompagnée des données justificatives doit être communiquée avant ou avec la déclaration officielle.</w:t>
      </w:r>
    </w:p>
  </w:footnote>
  <w:footnote w:id="22">
    <w:p w14:paraId="3C2EF153" w14:textId="32F8D2FB" w:rsidR="00615BC0" w:rsidRPr="002E7924" w:rsidRDefault="00615BC0" w:rsidP="00C444C0">
      <w:pPr>
        <w:pStyle w:val="Notedebasdepage"/>
        <w:spacing w:line="220" w:lineRule="atLeast"/>
      </w:pPr>
      <w:r w:rsidRPr="002E7924">
        <w:rPr>
          <w:rStyle w:val="Appelnotedebasdep"/>
        </w:rPr>
        <w:footnoteRef/>
      </w:r>
      <w:r w:rsidRPr="002E7924">
        <w:t xml:space="preserve"> Veuillez seulement indiquer le «tarif intérieur supplémentaire» si le service intérieur et le tarif correspondant intègrent des éléments de service supplémentaires, à savoir le suivi, la remise contre signature ou l’assurance, et si le montant pour ces éléments de service est spécifié séparément du taux de base</w:t>
      </w:r>
      <w:r w:rsidR="0056318E">
        <w:t xml:space="preserve"> (v. art. 30.1.6.4 de la Convention</w:t>
      </w:r>
      <w:r w:rsidR="0056318E" w:rsidRPr="002E7924">
        <w:t xml:space="preserve"> pour plus de précisions</w:t>
      </w:r>
      <w:r w:rsidR="0056318E">
        <w:t>)</w:t>
      </w:r>
      <w:r w:rsidR="0056318E" w:rsidRPr="002E7924">
        <w:t>.</w:t>
      </w:r>
    </w:p>
  </w:footnote>
  <w:footnote w:id="23">
    <w:p w14:paraId="6FECC1EF" w14:textId="74C78956" w:rsidR="00615BC0" w:rsidRPr="002E7924" w:rsidRDefault="00615BC0" w:rsidP="001D56B1">
      <w:pPr>
        <w:pStyle w:val="Notedebasdepage"/>
        <w:spacing w:line="220" w:lineRule="atLeast"/>
      </w:pPr>
      <w:r w:rsidRPr="002E7924">
        <w:rPr>
          <w:rStyle w:val="Appelnotedebasdep"/>
        </w:rPr>
        <w:footnoteRef/>
      </w:r>
      <w:r w:rsidRPr="002E7924">
        <w:t xml:space="preserve"> Conformément à l’article </w:t>
      </w:r>
      <w:r w:rsidR="00D63811">
        <w:t>30-101</w:t>
      </w:r>
      <w:r w:rsidRPr="002E7924">
        <w:t xml:space="preserve"> du Règlement de la Convention, si l’opérateur désigné choisit d’appliquer la méthode de distance moyenne aux tarifications par zone, la distance moyenne accompagnée des données justificatives doit être communiquée avant ou avec la déclaration officielle.</w:t>
      </w:r>
    </w:p>
  </w:footnote>
  <w:footnote w:id="24">
    <w:p w14:paraId="68D8E449" w14:textId="1D482BDD" w:rsidR="00615BC0" w:rsidRPr="00AA289B" w:rsidRDefault="00615BC0" w:rsidP="006D0002">
      <w:pPr>
        <w:pStyle w:val="Notedebasdepage"/>
        <w:spacing w:line="220" w:lineRule="atLeast"/>
        <w:rPr>
          <w:lang w:val="fr-CH"/>
        </w:rPr>
      </w:pPr>
      <w:r w:rsidRPr="002E7924">
        <w:rPr>
          <w:rStyle w:val="Appelnotedebasdep"/>
        </w:rPr>
        <w:footnoteRef/>
      </w:r>
      <w:r w:rsidRPr="002E7924">
        <w:t xml:space="preserve"> Veuillez seulement indiquer le «tarif intérieur supplémentaire» si le service intérieur et le tarif correspondant intègrent des éléments de service supplémentaires, à savoir le suivi, la remise contre signature ou l’assurance, et si le montant pour ces éléments de service est spécifié séparément du taux de base</w:t>
      </w:r>
      <w:r w:rsidR="0056318E">
        <w:t xml:space="preserve"> (v. art. 30.1.6.4 de la Convention</w:t>
      </w:r>
      <w:r w:rsidR="0056318E" w:rsidRPr="002E7924">
        <w:t xml:space="preserve"> pour plus de précisions</w:t>
      </w:r>
      <w:r w:rsidR="0056318E">
        <w:t>)</w:t>
      </w:r>
      <w:r w:rsidR="0056318E" w:rsidRPr="002E792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E009" w14:textId="77777777" w:rsidR="00615BC0" w:rsidRDefault="00615BC0">
    <w:pPr>
      <w:jc w:val="center"/>
    </w:pPr>
    <w:r>
      <w:pgNum/>
    </w:r>
  </w:p>
  <w:p w14:paraId="20157118" w14:textId="77777777" w:rsidR="00615BC0" w:rsidRDefault="00615BC0">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EF80" w14:textId="77777777" w:rsidR="00615BC0" w:rsidRDefault="00615BC0" w:rsidP="00F639BA">
    <w:pPr>
      <w:jc w:val="center"/>
    </w:pPr>
    <w:r>
      <w:pgNum/>
    </w:r>
  </w:p>
  <w:p w14:paraId="0844BF2B" w14:textId="77777777" w:rsidR="00615BC0" w:rsidRDefault="00615BC0"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615BC0" w:rsidRPr="00EB3F9D" w14:paraId="6C1EA3B9" w14:textId="77777777">
      <w:trPr>
        <w:trHeight w:val="1418"/>
      </w:trPr>
      <w:tc>
        <w:tcPr>
          <w:tcW w:w="3119" w:type="dxa"/>
        </w:tcPr>
        <w:p w14:paraId="0B51784C" w14:textId="77777777" w:rsidR="00615BC0" w:rsidRPr="002E7924" w:rsidRDefault="00615BC0" w:rsidP="00AE0D85">
          <w:pPr>
            <w:pStyle w:val="En-tte"/>
            <w:spacing w:before="20" w:after="1180"/>
            <w:rPr>
              <w:rFonts w:ascii="45 Helvetica Light" w:hAnsi="45 Helvetica Light"/>
              <w:sz w:val="18"/>
            </w:rPr>
          </w:pPr>
          <w:r w:rsidRPr="002E7924">
            <w:rPr>
              <w:rFonts w:ascii="45 Helvetica Light" w:hAnsi="45 Helvetica Light"/>
              <w:noProof/>
              <w:sz w:val="18"/>
              <w:lang w:val="fr-CH"/>
            </w:rPr>
            <w:drawing>
              <wp:inline distT="0" distB="0" distL="0" distR="0" wp14:anchorId="48F7DE02" wp14:editId="680CE165">
                <wp:extent cx="1749963" cy="421485"/>
                <wp:effectExtent l="0" t="0" r="317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1200_fr.bmp"/>
                        <pic:cNvPicPr/>
                      </pic:nvPicPr>
                      <pic:blipFill>
                        <a:blip r:embed="rId1">
                          <a:extLst>
                            <a:ext uri="{28A0092B-C50C-407E-A947-70E740481C1C}">
                              <a14:useLocalDpi xmlns:a14="http://schemas.microsoft.com/office/drawing/2010/main" val="0"/>
                            </a:ext>
                          </a:extLst>
                        </a:blip>
                        <a:stretch>
                          <a:fillRect/>
                        </a:stretch>
                      </pic:blipFill>
                      <pic:spPr>
                        <a:xfrm>
                          <a:off x="0" y="0"/>
                          <a:ext cx="1749963" cy="421485"/>
                        </a:xfrm>
                        <a:prstGeom prst="rect">
                          <a:avLst/>
                        </a:prstGeom>
                      </pic:spPr>
                    </pic:pic>
                  </a:graphicData>
                </a:graphic>
              </wp:inline>
            </w:drawing>
          </w:r>
        </w:p>
      </w:tc>
      <w:tc>
        <w:tcPr>
          <w:tcW w:w="6520" w:type="dxa"/>
        </w:tcPr>
        <w:p w14:paraId="4F80B00F" w14:textId="4D99F35B" w:rsidR="00615BC0" w:rsidRPr="002E7924" w:rsidRDefault="00615BC0" w:rsidP="00792D47">
          <w:pPr>
            <w:autoSpaceDE w:val="0"/>
            <w:autoSpaceDN w:val="0"/>
            <w:adjustRightInd w:val="0"/>
            <w:jc w:val="right"/>
            <w:rPr>
              <w:rFonts w:cs="Arial"/>
            </w:rPr>
          </w:pPr>
          <w:r w:rsidRPr="002E7924">
            <w:t>Annexe 2 à la lettre 0426(DPRM.PPRE.RDI)</w:t>
          </w:r>
          <w:r w:rsidR="00E73E1A" w:rsidRPr="002E7924">
            <w:t>102</w:t>
          </w:r>
          <w:r w:rsidR="00E73E1A">
            <w:t>5</w:t>
          </w:r>
          <w:r w:rsidR="00E73E1A" w:rsidRPr="002E7924">
            <w:t xml:space="preserve"> </w:t>
          </w:r>
        </w:p>
        <w:p w14:paraId="16EF0EFC" w14:textId="46EA2FCD" w:rsidR="00615BC0" w:rsidRPr="00EB3F9D" w:rsidRDefault="00615BC0" w:rsidP="00792D47">
          <w:pPr>
            <w:autoSpaceDE w:val="0"/>
            <w:autoSpaceDN w:val="0"/>
            <w:adjustRightInd w:val="0"/>
            <w:ind w:right="8"/>
            <w:jc w:val="right"/>
          </w:pPr>
          <w:r w:rsidRPr="002E7924">
            <w:t xml:space="preserve">du </w:t>
          </w:r>
          <w:r w:rsidR="00E73E1A">
            <w:t>26</w:t>
          </w:r>
          <w:r w:rsidR="00E73E1A" w:rsidRPr="002E7924">
            <w:t xml:space="preserve"> </w:t>
          </w:r>
          <w:r w:rsidRPr="002E7924">
            <w:t xml:space="preserve">mars </w:t>
          </w:r>
          <w:r w:rsidR="00E73E1A" w:rsidRPr="002E7924">
            <w:t>202</w:t>
          </w:r>
          <w:r w:rsidR="00E73E1A">
            <w:t>6</w:t>
          </w:r>
        </w:p>
      </w:tc>
    </w:tr>
  </w:tbl>
  <w:p w14:paraId="6E7BE9AA" w14:textId="77777777" w:rsidR="00615BC0" w:rsidRPr="00376861" w:rsidRDefault="00615BC0"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3314FBC6"/>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B1EC2630"/>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ADB125E"/>
    <w:multiLevelType w:val="singleLevel"/>
    <w:tmpl w:val="B916025C"/>
    <w:lvl w:ilvl="0">
      <w:numFmt w:val="bullet"/>
      <w:pStyle w:val="Deuximeretrait"/>
      <w:lvlText w:val=""/>
      <w:lvlJc w:val="left"/>
      <w:pPr>
        <w:tabs>
          <w:tab w:val="num" w:pos="1134"/>
        </w:tabs>
        <w:ind w:left="1134" w:hanging="567"/>
      </w:pPr>
      <w:rPr>
        <w:rFonts w:ascii="Symbol" w:hAnsi="Symbol" w:hint="default"/>
      </w:rPr>
    </w:lvl>
  </w:abstractNum>
  <w:abstractNum w:abstractNumId="1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4"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3"/>
  </w:num>
  <w:num w:numId="7">
    <w:abstractNumId w:val="14"/>
  </w:num>
  <w:num w:numId="8">
    <w:abstractNumId w:val="3"/>
  </w:num>
  <w:num w:numId="9">
    <w:abstractNumId w:val="1"/>
  </w:num>
  <w:num w:numId="10">
    <w:abstractNumId w:val="10"/>
  </w:num>
  <w:num w:numId="11">
    <w:abstractNumId w:val="9"/>
  </w:num>
  <w:num w:numId="12">
    <w:abstractNumId w:val="12"/>
  </w:num>
  <w:num w:numId="13">
    <w:abstractNumId w:val="0"/>
  </w:num>
  <w:num w:numId="14">
    <w:abstractNumId w:val="11"/>
  </w:num>
  <w:num w:numId="15">
    <w:abstractNumId w:val="2"/>
  </w:num>
  <w:num w:numId="16">
    <w:abstractNumId w:val="1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CH"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81" fill="f" fillcolor="white" stroke="f">
      <v:fill color="white" on="f"/>
      <v:stroke on="f"/>
    </o:shapedefaults>
  </w:hdrShapeDefaults>
  <w:footnotePr>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D4"/>
    <w:rsid w:val="000021DD"/>
    <w:rsid w:val="00004D2B"/>
    <w:rsid w:val="0001032A"/>
    <w:rsid w:val="0002298F"/>
    <w:rsid w:val="00023669"/>
    <w:rsid w:val="000251CB"/>
    <w:rsid w:val="00026EC5"/>
    <w:rsid w:val="00033585"/>
    <w:rsid w:val="000370A1"/>
    <w:rsid w:val="00045999"/>
    <w:rsid w:val="000465C9"/>
    <w:rsid w:val="000569F6"/>
    <w:rsid w:val="00073760"/>
    <w:rsid w:val="000A1238"/>
    <w:rsid w:val="000A2610"/>
    <w:rsid w:val="000B24C3"/>
    <w:rsid w:val="000D1BB1"/>
    <w:rsid w:val="000E0AB2"/>
    <w:rsid w:val="000F2E1C"/>
    <w:rsid w:val="001006F4"/>
    <w:rsid w:val="00104F21"/>
    <w:rsid w:val="0011269C"/>
    <w:rsid w:val="001153B2"/>
    <w:rsid w:val="00121A6F"/>
    <w:rsid w:val="00122FC4"/>
    <w:rsid w:val="001263F2"/>
    <w:rsid w:val="00132B3A"/>
    <w:rsid w:val="00133438"/>
    <w:rsid w:val="00134A29"/>
    <w:rsid w:val="0013735E"/>
    <w:rsid w:val="001567C5"/>
    <w:rsid w:val="00161F92"/>
    <w:rsid w:val="0017006D"/>
    <w:rsid w:val="00172757"/>
    <w:rsid w:val="00176BFE"/>
    <w:rsid w:val="001813EE"/>
    <w:rsid w:val="001A07D7"/>
    <w:rsid w:val="001A4314"/>
    <w:rsid w:val="001B0D68"/>
    <w:rsid w:val="001D2A19"/>
    <w:rsid w:val="001D34C2"/>
    <w:rsid w:val="001D56B1"/>
    <w:rsid w:val="001E5675"/>
    <w:rsid w:val="00210CD4"/>
    <w:rsid w:val="00213056"/>
    <w:rsid w:val="00232DCA"/>
    <w:rsid w:val="0024634E"/>
    <w:rsid w:val="00252BCD"/>
    <w:rsid w:val="00261EAE"/>
    <w:rsid w:val="0026706D"/>
    <w:rsid w:val="00267A8B"/>
    <w:rsid w:val="00270106"/>
    <w:rsid w:val="00272937"/>
    <w:rsid w:val="002805EB"/>
    <w:rsid w:val="00282124"/>
    <w:rsid w:val="00282FAD"/>
    <w:rsid w:val="0029168C"/>
    <w:rsid w:val="00292C64"/>
    <w:rsid w:val="00294B74"/>
    <w:rsid w:val="002A3142"/>
    <w:rsid w:val="002A3205"/>
    <w:rsid w:val="002A663B"/>
    <w:rsid w:val="002B1B7A"/>
    <w:rsid w:val="002B2A67"/>
    <w:rsid w:val="002B66E8"/>
    <w:rsid w:val="002C2AA1"/>
    <w:rsid w:val="002C3576"/>
    <w:rsid w:val="002E7924"/>
    <w:rsid w:val="002F7773"/>
    <w:rsid w:val="003002DC"/>
    <w:rsid w:val="00300E9B"/>
    <w:rsid w:val="003104EA"/>
    <w:rsid w:val="003118BD"/>
    <w:rsid w:val="00325076"/>
    <w:rsid w:val="00325132"/>
    <w:rsid w:val="00327900"/>
    <w:rsid w:val="00331C6E"/>
    <w:rsid w:val="003405FB"/>
    <w:rsid w:val="003407BC"/>
    <w:rsid w:val="0034252F"/>
    <w:rsid w:val="00342CD6"/>
    <w:rsid w:val="00343FF6"/>
    <w:rsid w:val="0035401F"/>
    <w:rsid w:val="00355163"/>
    <w:rsid w:val="00361DE6"/>
    <w:rsid w:val="00362919"/>
    <w:rsid w:val="00372B67"/>
    <w:rsid w:val="0037420A"/>
    <w:rsid w:val="003750AE"/>
    <w:rsid w:val="00376861"/>
    <w:rsid w:val="003B1F3F"/>
    <w:rsid w:val="003B1F46"/>
    <w:rsid w:val="003B74B8"/>
    <w:rsid w:val="003C3A8D"/>
    <w:rsid w:val="003D7E0B"/>
    <w:rsid w:val="00400A31"/>
    <w:rsid w:val="0040193C"/>
    <w:rsid w:val="00422F57"/>
    <w:rsid w:val="00432747"/>
    <w:rsid w:val="00436DF0"/>
    <w:rsid w:val="00445246"/>
    <w:rsid w:val="00450CCF"/>
    <w:rsid w:val="00451527"/>
    <w:rsid w:val="00457E32"/>
    <w:rsid w:val="0046077D"/>
    <w:rsid w:val="004611D5"/>
    <w:rsid w:val="0046520C"/>
    <w:rsid w:val="004675F4"/>
    <w:rsid w:val="00471015"/>
    <w:rsid w:val="00471CE5"/>
    <w:rsid w:val="004763D5"/>
    <w:rsid w:val="00480ACB"/>
    <w:rsid w:val="00495439"/>
    <w:rsid w:val="004A31FB"/>
    <w:rsid w:val="004A3565"/>
    <w:rsid w:val="004A6F3C"/>
    <w:rsid w:val="004C1FB9"/>
    <w:rsid w:val="004C4EBF"/>
    <w:rsid w:val="004C6BEE"/>
    <w:rsid w:val="004D03CA"/>
    <w:rsid w:val="004D221E"/>
    <w:rsid w:val="004D2DA6"/>
    <w:rsid w:val="004D5BF9"/>
    <w:rsid w:val="004E05F3"/>
    <w:rsid w:val="004E1F28"/>
    <w:rsid w:val="004E2B3B"/>
    <w:rsid w:val="004E44D9"/>
    <w:rsid w:val="004E5C56"/>
    <w:rsid w:val="004E63E4"/>
    <w:rsid w:val="005162D1"/>
    <w:rsid w:val="0051701F"/>
    <w:rsid w:val="00527FF5"/>
    <w:rsid w:val="005345AF"/>
    <w:rsid w:val="00536401"/>
    <w:rsid w:val="005431A8"/>
    <w:rsid w:val="0056318E"/>
    <w:rsid w:val="00565476"/>
    <w:rsid w:val="00570EDB"/>
    <w:rsid w:val="005749CB"/>
    <w:rsid w:val="00577828"/>
    <w:rsid w:val="00590BBB"/>
    <w:rsid w:val="0059589F"/>
    <w:rsid w:val="00595EB7"/>
    <w:rsid w:val="005A1B7A"/>
    <w:rsid w:val="005A1FD5"/>
    <w:rsid w:val="005A5E56"/>
    <w:rsid w:val="005A73C0"/>
    <w:rsid w:val="005B20C7"/>
    <w:rsid w:val="005B448A"/>
    <w:rsid w:val="005B7783"/>
    <w:rsid w:val="005C24FE"/>
    <w:rsid w:val="005C2838"/>
    <w:rsid w:val="005D36DD"/>
    <w:rsid w:val="005D36F8"/>
    <w:rsid w:val="005D42D7"/>
    <w:rsid w:val="005D714E"/>
    <w:rsid w:val="005D7AA9"/>
    <w:rsid w:val="005D7F27"/>
    <w:rsid w:val="005E5DC2"/>
    <w:rsid w:val="005F0892"/>
    <w:rsid w:val="005F4A1C"/>
    <w:rsid w:val="005F4E87"/>
    <w:rsid w:val="005F5C9B"/>
    <w:rsid w:val="00615BC0"/>
    <w:rsid w:val="006206CE"/>
    <w:rsid w:val="00623B95"/>
    <w:rsid w:val="00627D63"/>
    <w:rsid w:val="00635A0F"/>
    <w:rsid w:val="00635F1D"/>
    <w:rsid w:val="00637585"/>
    <w:rsid w:val="00643F80"/>
    <w:rsid w:val="00652015"/>
    <w:rsid w:val="00653717"/>
    <w:rsid w:val="00653FFD"/>
    <w:rsid w:val="00654B91"/>
    <w:rsid w:val="00656A8B"/>
    <w:rsid w:val="006724B1"/>
    <w:rsid w:val="00674F9B"/>
    <w:rsid w:val="0067789D"/>
    <w:rsid w:val="00682807"/>
    <w:rsid w:val="00684FEB"/>
    <w:rsid w:val="00692894"/>
    <w:rsid w:val="006A79AB"/>
    <w:rsid w:val="006B1882"/>
    <w:rsid w:val="006C019C"/>
    <w:rsid w:val="006C1AD2"/>
    <w:rsid w:val="006C47EF"/>
    <w:rsid w:val="006C48F2"/>
    <w:rsid w:val="006D0002"/>
    <w:rsid w:val="006D5D8D"/>
    <w:rsid w:val="006E36B1"/>
    <w:rsid w:val="006E5A09"/>
    <w:rsid w:val="00700305"/>
    <w:rsid w:val="007031EE"/>
    <w:rsid w:val="00707BAC"/>
    <w:rsid w:val="00717D08"/>
    <w:rsid w:val="00744BCF"/>
    <w:rsid w:val="0075100B"/>
    <w:rsid w:val="00751E41"/>
    <w:rsid w:val="00756C4A"/>
    <w:rsid w:val="00757BB9"/>
    <w:rsid w:val="00761DEC"/>
    <w:rsid w:val="0076291C"/>
    <w:rsid w:val="00765B70"/>
    <w:rsid w:val="00767DD4"/>
    <w:rsid w:val="0077420D"/>
    <w:rsid w:val="00774803"/>
    <w:rsid w:val="00780CBD"/>
    <w:rsid w:val="00783C7C"/>
    <w:rsid w:val="00787964"/>
    <w:rsid w:val="007879AC"/>
    <w:rsid w:val="00787E14"/>
    <w:rsid w:val="00792D47"/>
    <w:rsid w:val="00792EEC"/>
    <w:rsid w:val="007944F2"/>
    <w:rsid w:val="00795673"/>
    <w:rsid w:val="007A2839"/>
    <w:rsid w:val="007A4BD6"/>
    <w:rsid w:val="007B1245"/>
    <w:rsid w:val="007B129A"/>
    <w:rsid w:val="007B5252"/>
    <w:rsid w:val="007B6036"/>
    <w:rsid w:val="007C679A"/>
    <w:rsid w:val="007D07CD"/>
    <w:rsid w:val="007D2933"/>
    <w:rsid w:val="007D6956"/>
    <w:rsid w:val="007E0A42"/>
    <w:rsid w:val="007E2A17"/>
    <w:rsid w:val="007E2C78"/>
    <w:rsid w:val="007E6319"/>
    <w:rsid w:val="007F6E68"/>
    <w:rsid w:val="00810177"/>
    <w:rsid w:val="00810D35"/>
    <w:rsid w:val="008201CE"/>
    <w:rsid w:val="008235B6"/>
    <w:rsid w:val="00840214"/>
    <w:rsid w:val="008424BE"/>
    <w:rsid w:val="00843281"/>
    <w:rsid w:val="00855D34"/>
    <w:rsid w:val="00856430"/>
    <w:rsid w:val="00857B50"/>
    <w:rsid w:val="0087570D"/>
    <w:rsid w:val="00894502"/>
    <w:rsid w:val="00894CD8"/>
    <w:rsid w:val="00894DA0"/>
    <w:rsid w:val="00897E26"/>
    <w:rsid w:val="008A5A68"/>
    <w:rsid w:val="008A6A0F"/>
    <w:rsid w:val="008B1A61"/>
    <w:rsid w:val="008B1F12"/>
    <w:rsid w:val="008B2D50"/>
    <w:rsid w:val="008B6D79"/>
    <w:rsid w:val="008B7E25"/>
    <w:rsid w:val="008C689B"/>
    <w:rsid w:val="008C6FD6"/>
    <w:rsid w:val="008D37F9"/>
    <w:rsid w:val="008D3810"/>
    <w:rsid w:val="008D58D7"/>
    <w:rsid w:val="008E54AA"/>
    <w:rsid w:val="008E7378"/>
    <w:rsid w:val="008E7619"/>
    <w:rsid w:val="008E7AC4"/>
    <w:rsid w:val="008F12A9"/>
    <w:rsid w:val="008F1500"/>
    <w:rsid w:val="008F7BFE"/>
    <w:rsid w:val="009100BD"/>
    <w:rsid w:val="0091074C"/>
    <w:rsid w:val="009151F4"/>
    <w:rsid w:val="009300F8"/>
    <w:rsid w:val="00932DC4"/>
    <w:rsid w:val="00942A02"/>
    <w:rsid w:val="009431B1"/>
    <w:rsid w:val="009434D3"/>
    <w:rsid w:val="00955F23"/>
    <w:rsid w:val="009569DE"/>
    <w:rsid w:val="00957FCD"/>
    <w:rsid w:val="0097318D"/>
    <w:rsid w:val="00974119"/>
    <w:rsid w:val="009A2BBC"/>
    <w:rsid w:val="009B449A"/>
    <w:rsid w:val="009B62D8"/>
    <w:rsid w:val="009B75E1"/>
    <w:rsid w:val="009B7AD2"/>
    <w:rsid w:val="009C0330"/>
    <w:rsid w:val="009C13EF"/>
    <w:rsid w:val="009C5280"/>
    <w:rsid w:val="009C5BD0"/>
    <w:rsid w:val="009D6B63"/>
    <w:rsid w:val="009D77AD"/>
    <w:rsid w:val="009E5AB3"/>
    <w:rsid w:val="009E7ADC"/>
    <w:rsid w:val="009F110E"/>
    <w:rsid w:val="009F36E2"/>
    <w:rsid w:val="00A06C89"/>
    <w:rsid w:val="00A24D01"/>
    <w:rsid w:val="00A26C02"/>
    <w:rsid w:val="00A418A0"/>
    <w:rsid w:val="00A455D1"/>
    <w:rsid w:val="00A53E1E"/>
    <w:rsid w:val="00A5792F"/>
    <w:rsid w:val="00A61B34"/>
    <w:rsid w:val="00A61F2D"/>
    <w:rsid w:val="00A62BA9"/>
    <w:rsid w:val="00A62E9D"/>
    <w:rsid w:val="00A6703E"/>
    <w:rsid w:val="00A73891"/>
    <w:rsid w:val="00A809D7"/>
    <w:rsid w:val="00A90518"/>
    <w:rsid w:val="00A91332"/>
    <w:rsid w:val="00A92377"/>
    <w:rsid w:val="00AA01D2"/>
    <w:rsid w:val="00AA289B"/>
    <w:rsid w:val="00AA61ED"/>
    <w:rsid w:val="00AA7A6C"/>
    <w:rsid w:val="00AB7653"/>
    <w:rsid w:val="00AC2359"/>
    <w:rsid w:val="00AD285C"/>
    <w:rsid w:val="00AE0D85"/>
    <w:rsid w:val="00AE2BF2"/>
    <w:rsid w:val="00B00E3F"/>
    <w:rsid w:val="00B010D9"/>
    <w:rsid w:val="00B11447"/>
    <w:rsid w:val="00B12A5A"/>
    <w:rsid w:val="00B13E7D"/>
    <w:rsid w:val="00B1711E"/>
    <w:rsid w:val="00B21635"/>
    <w:rsid w:val="00B2221C"/>
    <w:rsid w:val="00B262DA"/>
    <w:rsid w:val="00B30CB2"/>
    <w:rsid w:val="00B310A2"/>
    <w:rsid w:val="00B40E14"/>
    <w:rsid w:val="00B42AC7"/>
    <w:rsid w:val="00B458DD"/>
    <w:rsid w:val="00B7190D"/>
    <w:rsid w:val="00B740CB"/>
    <w:rsid w:val="00B80B26"/>
    <w:rsid w:val="00B838AD"/>
    <w:rsid w:val="00B86608"/>
    <w:rsid w:val="00BA404F"/>
    <w:rsid w:val="00BA5BFB"/>
    <w:rsid w:val="00BB0325"/>
    <w:rsid w:val="00BB398F"/>
    <w:rsid w:val="00BB3ACD"/>
    <w:rsid w:val="00BC0807"/>
    <w:rsid w:val="00BC1442"/>
    <w:rsid w:val="00BC4919"/>
    <w:rsid w:val="00BC507E"/>
    <w:rsid w:val="00BE45E5"/>
    <w:rsid w:val="00BE58AD"/>
    <w:rsid w:val="00BF1CE3"/>
    <w:rsid w:val="00BF2822"/>
    <w:rsid w:val="00BF2F28"/>
    <w:rsid w:val="00BF5B9E"/>
    <w:rsid w:val="00C0653D"/>
    <w:rsid w:val="00C06D24"/>
    <w:rsid w:val="00C16727"/>
    <w:rsid w:val="00C17350"/>
    <w:rsid w:val="00C21452"/>
    <w:rsid w:val="00C21FCE"/>
    <w:rsid w:val="00C258AA"/>
    <w:rsid w:val="00C2769E"/>
    <w:rsid w:val="00C35110"/>
    <w:rsid w:val="00C402AE"/>
    <w:rsid w:val="00C444C0"/>
    <w:rsid w:val="00C466B4"/>
    <w:rsid w:val="00C52F1D"/>
    <w:rsid w:val="00C64D52"/>
    <w:rsid w:val="00C74B88"/>
    <w:rsid w:val="00C903B8"/>
    <w:rsid w:val="00C91301"/>
    <w:rsid w:val="00C91C2F"/>
    <w:rsid w:val="00C92D72"/>
    <w:rsid w:val="00CA3D20"/>
    <w:rsid w:val="00CB08F1"/>
    <w:rsid w:val="00CB2F6E"/>
    <w:rsid w:val="00CB2FA6"/>
    <w:rsid w:val="00CC0402"/>
    <w:rsid w:val="00CC3161"/>
    <w:rsid w:val="00CC7367"/>
    <w:rsid w:val="00CD03E7"/>
    <w:rsid w:val="00CE15A2"/>
    <w:rsid w:val="00CE2270"/>
    <w:rsid w:val="00CF3F12"/>
    <w:rsid w:val="00D154F8"/>
    <w:rsid w:val="00D3589B"/>
    <w:rsid w:val="00D5013D"/>
    <w:rsid w:val="00D50254"/>
    <w:rsid w:val="00D56037"/>
    <w:rsid w:val="00D60761"/>
    <w:rsid w:val="00D61B31"/>
    <w:rsid w:val="00D63811"/>
    <w:rsid w:val="00D64064"/>
    <w:rsid w:val="00D70732"/>
    <w:rsid w:val="00D73262"/>
    <w:rsid w:val="00D73A0A"/>
    <w:rsid w:val="00D85520"/>
    <w:rsid w:val="00DA49AB"/>
    <w:rsid w:val="00DA646A"/>
    <w:rsid w:val="00DB19D8"/>
    <w:rsid w:val="00DB52F2"/>
    <w:rsid w:val="00DB7EC0"/>
    <w:rsid w:val="00DC3810"/>
    <w:rsid w:val="00DC4D86"/>
    <w:rsid w:val="00DC77C7"/>
    <w:rsid w:val="00DD2E17"/>
    <w:rsid w:val="00E048A5"/>
    <w:rsid w:val="00E04D2B"/>
    <w:rsid w:val="00E07D80"/>
    <w:rsid w:val="00E10CD5"/>
    <w:rsid w:val="00E2704E"/>
    <w:rsid w:val="00E270C8"/>
    <w:rsid w:val="00E31D00"/>
    <w:rsid w:val="00E3448B"/>
    <w:rsid w:val="00E34D5B"/>
    <w:rsid w:val="00E72B05"/>
    <w:rsid w:val="00E73E1A"/>
    <w:rsid w:val="00E76C5C"/>
    <w:rsid w:val="00E81CAF"/>
    <w:rsid w:val="00E82263"/>
    <w:rsid w:val="00E8525A"/>
    <w:rsid w:val="00E93B97"/>
    <w:rsid w:val="00EB2414"/>
    <w:rsid w:val="00EB3F9D"/>
    <w:rsid w:val="00EC41CE"/>
    <w:rsid w:val="00ED183A"/>
    <w:rsid w:val="00ED3253"/>
    <w:rsid w:val="00ED63F7"/>
    <w:rsid w:val="00ED6707"/>
    <w:rsid w:val="00ED7E1E"/>
    <w:rsid w:val="00EE1E5F"/>
    <w:rsid w:val="00EE2A54"/>
    <w:rsid w:val="00F11A72"/>
    <w:rsid w:val="00F1269E"/>
    <w:rsid w:val="00F13542"/>
    <w:rsid w:val="00F15570"/>
    <w:rsid w:val="00F15EB7"/>
    <w:rsid w:val="00F177AC"/>
    <w:rsid w:val="00F327A1"/>
    <w:rsid w:val="00F3387F"/>
    <w:rsid w:val="00F33A54"/>
    <w:rsid w:val="00F3515E"/>
    <w:rsid w:val="00F357D3"/>
    <w:rsid w:val="00F36DDA"/>
    <w:rsid w:val="00F46D76"/>
    <w:rsid w:val="00F521BF"/>
    <w:rsid w:val="00F6214A"/>
    <w:rsid w:val="00F62978"/>
    <w:rsid w:val="00F639BA"/>
    <w:rsid w:val="00F67925"/>
    <w:rsid w:val="00F726EB"/>
    <w:rsid w:val="00F83EF1"/>
    <w:rsid w:val="00F87364"/>
    <w:rsid w:val="00F87A5B"/>
    <w:rsid w:val="00F9334A"/>
    <w:rsid w:val="00F963C3"/>
    <w:rsid w:val="00FA2EFC"/>
    <w:rsid w:val="00FA4CBF"/>
    <w:rsid w:val="00FB4B14"/>
    <w:rsid w:val="00FC527F"/>
    <w:rsid w:val="00FC5E68"/>
    <w:rsid w:val="00FD4FD5"/>
    <w:rsid w:val="00FE2BD4"/>
    <w:rsid w:val="00FE3A1B"/>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fill="f" fillcolor="white" stroke="f">
      <v:fill color="white" on="f"/>
      <v:stroke on="f"/>
    </o:shapedefaults>
    <o:shapelayout v:ext="edit">
      <o:idmap v:ext="edit" data="1"/>
    </o:shapelayout>
  </w:shapeDefaults>
  <w:decimalSymbol w:val=","/>
  <w:listSeparator w:val=";"/>
  <w14:docId w14:val="4D974B45"/>
  <w15:docId w15:val="{A02D9313-F4DF-4464-B370-BE91321A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B26"/>
    <w:pPr>
      <w:spacing w:line="240" w:lineRule="atLeast"/>
    </w:pPr>
    <w:rPr>
      <w:rFonts w:ascii="Arial" w:hAnsi="Arial"/>
      <w:lang w:val="fr-FR" w:eastAsia="fr-CH"/>
    </w:rPr>
  </w:style>
  <w:style w:type="paragraph" w:styleId="Titre1">
    <w:name w:val="heading 1"/>
    <w:basedOn w:val="Normal"/>
    <w:next w:val="Textedebase"/>
    <w:qFormat/>
    <w:pPr>
      <w:ind w:left="567" w:hanging="567"/>
      <w:jc w:val="both"/>
      <w:outlineLvl w:val="0"/>
    </w:pPr>
    <w:rPr>
      <w:b/>
      <w:bCs/>
    </w:rPr>
  </w:style>
  <w:style w:type="paragraph" w:styleId="Titre2">
    <w:name w:val="heading 2"/>
    <w:basedOn w:val="Normal"/>
    <w:next w:val="Textedebase"/>
    <w:qFormat/>
    <w:pPr>
      <w:ind w:left="567" w:hanging="567"/>
      <w:jc w:val="both"/>
      <w:outlineLvl w:val="1"/>
    </w:pPr>
    <w:rPr>
      <w:i/>
      <w:iCs/>
    </w:rPr>
  </w:style>
  <w:style w:type="paragraph" w:styleId="Titre3">
    <w:name w:val="heading 3"/>
    <w:basedOn w:val="Normal"/>
    <w:next w:val="Textedebase"/>
    <w:qFormat/>
    <w:pPr>
      <w:tabs>
        <w:tab w:val="left" w:pos="567"/>
      </w:tabs>
      <w:jc w:val="both"/>
      <w:outlineLvl w:val="2"/>
    </w:pPr>
  </w:style>
  <w:style w:type="paragraph" w:styleId="Titre4">
    <w:name w:val="heading 4"/>
    <w:basedOn w:val="Normal"/>
    <w:next w:val="Normal"/>
    <w:qFormat/>
    <w:rsid w:val="0035401F"/>
    <w:pPr>
      <w:outlineLvl w:val="3"/>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rsid w:val="00942A02"/>
    <w:rPr>
      <w:rFonts w:ascii="Arial" w:hAnsi="Arial"/>
      <w:b w:val="0"/>
      <w:sz w:val="20"/>
      <w:szCs w:val="20"/>
      <w:vertAlign w:val="superscript"/>
      <w:lang w:val="fr-FR" w:eastAsia="fr-CH" w:bidi="ar-SA"/>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445246"/>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445246"/>
    <w:pPr>
      <w:numPr>
        <w:numId w:val="18"/>
      </w:numPr>
      <w:spacing w:before="120"/>
    </w:pPr>
  </w:style>
  <w:style w:type="paragraph" w:customStyle="1" w:styleId="Datesignature">
    <w:name w:val="Date+signature"/>
    <w:basedOn w:val="Normal"/>
    <w:rsid w:val="006206CE"/>
    <w:pPr>
      <w:tabs>
        <w:tab w:val="left" w:pos="5500"/>
      </w:tabs>
    </w:pPr>
    <w:rPr>
      <w:noProof/>
    </w:rPr>
  </w:style>
  <w:style w:type="paragraph" w:styleId="Notedebasdepage">
    <w:name w:val="footnote text"/>
    <w:basedOn w:val="Normal"/>
    <w:link w:val="NotedebasdepageCar"/>
    <w:uiPriority w:val="99"/>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rFonts w:ascii="Arial" w:hAnsi="Arial"/>
      <w:b/>
      <w:sz w:val="20"/>
      <w:szCs w:val="20"/>
      <w:vertAlign w:val="superscript"/>
      <w:lang w:val="fr-FR" w:eastAsia="fr-CH" w:bidi="ar-SA"/>
    </w:rPr>
  </w:style>
  <w:style w:type="paragraph" w:styleId="TM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01032A"/>
    <w:pPr>
      <w:autoSpaceDE w:val="0"/>
      <w:autoSpaceDN w:val="0"/>
      <w:adjustRightInd w:val="0"/>
      <w:jc w:val="both"/>
    </w:pPr>
    <w:rPr>
      <w:rFonts w:cs="Arial"/>
    </w:rPr>
  </w:style>
  <w:style w:type="paragraph" w:customStyle="1" w:styleId="Deuximeretraittableau">
    <w:name w:val="Deuxième retrait tableau"/>
    <w:basedOn w:val="Deuximeretrait"/>
    <w:qFormat/>
    <w:rsid w:val="00471015"/>
    <w:pPr>
      <w:tabs>
        <w:tab w:val="clear" w:pos="1134"/>
        <w:tab w:val="left" w:pos="567"/>
      </w:tabs>
      <w:spacing w:before="60" w:after="60"/>
      <w:ind w:left="568" w:hanging="284"/>
    </w:pPr>
  </w:style>
  <w:style w:type="paragraph" w:customStyle="1" w:styleId="Premierretraittableau">
    <w:name w:val="Premier retrait tableau"/>
    <w:basedOn w:val="Premierretrait"/>
    <w:qFormat/>
    <w:rsid w:val="00B80B26"/>
    <w:pPr>
      <w:tabs>
        <w:tab w:val="clear" w:pos="567"/>
        <w:tab w:val="left" w:pos="284"/>
      </w:tabs>
      <w:spacing w:before="60" w:after="60"/>
      <w:ind w:left="284" w:hanging="284"/>
    </w:pPr>
  </w:style>
  <w:style w:type="paragraph" w:customStyle="1" w:styleId="TroisimeretraitTableau">
    <w:name w:val="Troisième retrait Tableau"/>
    <w:basedOn w:val="Troisimeretrait"/>
    <w:qFormat/>
    <w:rsid w:val="00471015"/>
    <w:pPr>
      <w:tabs>
        <w:tab w:val="clear" w:pos="1701"/>
        <w:tab w:val="left" w:pos="851"/>
      </w:tabs>
      <w:spacing w:before="60" w:after="60"/>
      <w:ind w:left="851" w:hanging="284"/>
    </w:pPr>
  </w:style>
  <w:style w:type="paragraph" w:customStyle="1" w:styleId="0Textedebase">
    <w:name w:val="0 Texte de base"/>
    <w:basedOn w:val="Normal"/>
    <w:rsid w:val="00767DD4"/>
    <w:pPr>
      <w:jc w:val="both"/>
    </w:pPr>
  </w:style>
  <w:style w:type="paragraph" w:customStyle="1" w:styleId="1Premierretrait">
    <w:name w:val="1 Premier retrait"/>
    <w:basedOn w:val="0Textedebase"/>
    <w:rsid w:val="00767DD4"/>
    <w:pPr>
      <w:tabs>
        <w:tab w:val="num" w:pos="567"/>
      </w:tabs>
      <w:spacing w:before="120"/>
      <w:ind w:left="567" w:hanging="567"/>
    </w:pPr>
  </w:style>
  <w:style w:type="paragraph" w:customStyle="1" w:styleId="3Troisimeretrait">
    <w:name w:val="3 Troisième retrait"/>
    <w:basedOn w:val="0Textedebase"/>
    <w:rsid w:val="00767DD4"/>
    <w:pPr>
      <w:tabs>
        <w:tab w:val="num" w:pos="1701"/>
      </w:tabs>
      <w:spacing w:before="120"/>
      <w:ind w:left="1701" w:hanging="567"/>
    </w:pPr>
  </w:style>
  <w:style w:type="table" w:styleId="Grilledutableau">
    <w:name w:val="Table Grid"/>
    <w:basedOn w:val="TableauNormal"/>
    <w:rsid w:val="00767DD4"/>
    <w:rPr>
      <w:lang w:val="fr-FR"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uiPriority w:val="99"/>
    <w:semiHidden/>
    <w:rsid w:val="00767DD4"/>
    <w:rPr>
      <w:rFonts w:ascii="Arial" w:hAnsi="Arial"/>
      <w:sz w:val="18"/>
      <w:szCs w:val="18"/>
      <w:lang w:val="fr-FR" w:eastAsia="fr-CH"/>
    </w:rPr>
  </w:style>
  <w:style w:type="character" w:styleId="Lienhypertexte">
    <w:name w:val="Hyperlink"/>
    <w:basedOn w:val="Policepardfaut"/>
    <w:unhideWhenUsed/>
    <w:rsid w:val="00767DD4"/>
    <w:rPr>
      <w:color w:val="0000FF" w:themeColor="hyperlink"/>
      <w:u w:val="single"/>
    </w:rPr>
  </w:style>
  <w:style w:type="paragraph" w:styleId="Rvision">
    <w:name w:val="Revision"/>
    <w:hidden/>
    <w:uiPriority w:val="99"/>
    <w:semiHidden/>
    <w:rsid w:val="00134A29"/>
    <w:rPr>
      <w:rFonts w:ascii="Arial" w:hAnsi="Arial"/>
      <w:lang w:val="fr-FR" w:eastAsia="fr-CH"/>
    </w:rPr>
  </w:style>
  <w:style w:type="character" w:styleId="Mentionnonrsolue">
    <w:name w:val="Unresolved Mention"/>
    <w:basedOn w:val="Policepardfaut"/>
    <w:uiPriority w:val="99"/>
    <w:semiHidden/>
    <w:unhideWhenUsed/>
    <w:rsid w:val="008F7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148">
      <w:bodyDiv w:val="1"/>
      <w:marLeft w:val="0"/>
      <w:marRight w:val="0"/>
      <w:marTop w:val="0"/>
      <w:marBottom w:val="0"/>
      <w:divBdr>
        <w:top w:val="none" w:sz="0" w:space="0" w:color="auto"/>
        <w:left w:val="none" w:sz="0" w:space="0" w:color="auto"/>
        <w:bottom w:val="none" w:sz="0" w:space="0" w:color="auto"/>
        <w:right w:val="none" w:sz="0" w:space="0" w:color="auto"/>
      </w:divBdr>
    </w:div>
    <w:div w:id="175270471">
      <w:bodyDiv w:val="1"/>
      <w:marLeft w:val="0"/>
      <w:marRight w:val="0"/>
      <w:marTop w:val="0"/>
      <w:marBottom w:val="0"/>
      <w:divBdr>
        <w:top w:val="none" w:sz="0" w:space="0" w:color="auto"/>
        <w:left w:val="none" w:sz="0" w:space="0" w:color="auto"/>
        <w:bottom w:val="none" w:sz="0" w:space="0" w:color="auto"/>
        <w:right w:val="none" w:sz="0" w:space="0" w:color="auto"/>
      </w:divBdr>
    </w:div>
    <w:div w:id="941836853">
      <w:bodyDiv w:val="1"/>
      <w:marLeft w:val="0"/>
      <w:marRight w:val="0"/>
      <w:marTop w:val="0"/>
      <w:marBottom w:val="0"/>
      <w:divBdr>
        <w:top w:val="none" w:sz="0" w:space="0" w:color="auto"/>
        <w:left w:val="none" w:sz="0" w:space="0" w:color="auto"/>
        <w:bottom w:val="none" w:sz="0" w:space="0" w:color="auto"/>
        <w:right w:val="none" w:sz="0" w:space="0" w:color="auto"/>
      </w:divBdr>
    </w:div>
    <w:div w:id="1155609354">
      <w:bodyDiv w:val="1"/>
      <w:marLeft w:val="0"/>
      <w:marRight w:val="0"/>
      <w:marTop w:val="0"/>
      <w:marBottom w:val="0"/>
      <w:divBdr>
        <w:top w:val="none" w:sz="0" w:space="0" w:color="auto"/>
        <w:left w:val="none" w:sz="0" w:space="0" w:color="auto"/>
        <w:bottom w:val="none" w:sz="0" w:space="0" w:color="auto"/>
        <w:right w:val="none" w:sz="0" w:space="0" w:color="auto"/>
      </w:divBdr>
    </w:div>
    <w:div w:id="206054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pinozav@upu.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skeviciusv@upu.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veymonkey.com/r/B3833C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FR%20Modeles\FR%20Do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0E0F4-24BD-4C1B-9B95-B31AE6246654}">
  <ds:schemaRefs>
    <ds:schemaRef ds:uri="http://schemas.openxmlformats.org/officeDocument/2006/bibliography"/>
  </ds:schemaRefs>
</ds:datastoreItem>
</file>

<file path=customXml/itemProps2.xml><?xml version="1.0" encoding="utf-8"?>
<ds:datastoreItem xmlns:ds="http://schemas.openxmlformats.org/officeDocument/2006/customXml" ds:itemID="{AA31D4CA-5A29-4D43-83BC-AEA70341FE3F}">
  <ds:schemaRefs>
    <ds:schemaRef ds:uri="http://purl.org/dc/terms/"/>
    <ds:schemaRef ds:uri="7f4fe5ba-0e9c-43fa-b7dd-de1717dc009a"/>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323A19A-1EF6-40CC-AEC3-D6459BEACDBC}">
  <ds:schemaRefs>
    <ds:schemaRef ds:uri="http://schemas.microsoft.com/sharepoint/v3/contenttype/forms"/>
  </ds:schemaRefs>
</ds:datastoreItem>
</file>

<file path=customXml/itemProps4.xml><?xml version="1.0" encoding="utf-8"?>
<ds:datastoreItem xmlns:ds="http://schemas.openxmlformats.org/officeDocument/2006/customXml" ds:itemID="{3E16919A-EFB6-45B3-AA6B-A49886BF2502}"/>
</file>

<file path=docProps/app.xml><?xml version="1.0" encoding="utf-8"?>
<Properties xmlns="http://schemas.openxmlformats.org/officeDocument/2006/extended-properties" xmlns:vt="http://schemas.openxmlformats.org/officeDocument/2006/docPropsVTypes">
  <Template>FR Doc.dotx</Template>
  <TotalTime>8</TotalTime>
  <Pages>14</Pages>
  <Words>3599</Words>
  <Characters>20141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X</vt:lpstr>
    </vt:vector>
  </TitlesOfParts>
  <Company>Union postal universelle (UPU)</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CERISON tiziana</dc:creator>
  <cp:lastModifiedBy>PLATTET alexandre</cp:lastModifiedBy>
  <cp:revision>4</cp:revision>
  <cp:lastPrinted>2009-05-26T10:43:00Z</cp:lastPrinted>
  <dcterms:created xsi:type="dcterms:W3CDTF">2026-03-24T07:54:00Z</dcterms:created>
  <dcterms:modified xsi:type="dcterms:W3CDTF">2026-03-24T09:54:00Z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ef2e7b89-7db5-4659-b56c-d79bbe9275e1</vt:lpwstr>
  </property>
</Properties>
</file>