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88EB" w14:textId="77777777" w:rsidR="004E7F60" w:rsidRPr="00C12FDB" w:rsidRDefault="004E7F60" w:rsidP="004E7F60">
      <w:pPr>
        <w:pStyle w:val="0Textedebase"/>
        <w:rPr>
          <w:rFonts w:cs="Arial"/>
          <w:b/>
          <w:bCs/>
        </w:rPr>
      </w:pPr>
      <w:r w:rsidRPr="00C12FDB">
        <w:rPr>
          <w:rFonts w:cs="Arial"/>
          <w:b/>
          <w:spacing w:val="-2"/>
        </w:rPr>
        <w:t>Notification des tarifs intérieurs et des taux autodéclarés pour les colis postaux à compter du 1</w:t>
      </w:r>
      <w:r w:rsidRPr="00C12FDB">
        <w:rPr>
          <w:rFonts w:cs="Arial"/>
          <w:b/>
          <w:spacing w:val="-2"/>
          <w:vertAlign w:val="superscript"/>
        </w:rPr>
        <w:t>er</w:t>
      </w:r>
      <w:r w:rsidRPr="00C12FDB">
        <w:rPr>
          <w:rFonts w:cs="Arial"/>
          <w:b/>
          <w:spacing w:val="-2"/>
        </w:rPr>
        <w:t xml:space="preserve"> janvier</w:t>
      </w:r>
      <w:r w:rsidRPr="00C12FDB">
        <w:rPr>
          <w:rFonts w:cs="Arial"/>
          <w:b/>
        </w:rPr>
        <w:t xml:space="preserve"> 2027</w:t>
      </w:r>
    </w:p>
    <w:p w14:paraId="1EE871CB" w14:textId="77777777" w:rsidR="004E7F60" w:rsidRPr="00C12FDB" w:rsidRDefault="004E7F60" w:rsidP="004E7F60">
      <w:pPr>
        <w:pStyle w:val="0Textedebase"/>
        <w:rPr>
          <w:rFonts w:cs="Arial"/>
        </w:rPr>
      </w:pPr>
    </w:p>
    <w:tbl>
      <w:tblPr>
        <w:tblStyle w:val="Grilledutableau"/>
        <w:tblW w:w="0" w:type="auto"/>
        <w:tblLook w:val="04A0" w:firstRow="1" w:lastRow="0" w:firstColumn="1" w:lastColumn="0" w:noHBand="0" w:noVBand="1"/>
      </w:tblPr>
      <w:tblGrid>
        <w:gridCol w:w="9628"/>
      </w:tblGrid>
      <w:tr w:rsidR="004E7F60" w:rsidRPr="00C12FDB" w14:paraId="13E7A31A" w14:textId="77777777" w:rsidTr="0005520D">
        <w:tc>
          <w:tcPr>
            <w:tcW w:w="9628" w:type="dxa"/>
            <w:vAlign w:val="center"/>
          </w:tcPr>
          <w:p w14:paraId="56624B17" w14:textId="77777777" w:rsidR="004E7F60" w:rsidRPr="00C12FDB" w:rsidRDefault="004E7F60" w:rsidP="0005520D">
            <w:pPr>
              <w:pStyle w:val="0Textedebase"/>
              <w:spacing w:before="60" w:after="60"/>
              <w:rPr>
                <w:rFonts w:cs="Arial"/>
              </w:rPr>
            </w:pPr>
            <w:r w:rsidRPr="00C12FDB">
              <w:rPr>
                <w:rFonts w:cs="Arial"/>
                <w:bCs/>
              </w:rPr>
              <w:t>Remarque</w:t>
            </w:r>
            <w:r w:rsidRPr="00F33FBC">
              <w:rPr>
                <w:rFonts w:cs="Arial"/>
                <w:bCs/>
              </w:rPr>
              <w:t>:</w:t>
            </w:r>
            <w:r w:rsidRPr="00C12FDB">
              <w:rPr>
                <w:rFonts w:cs="Arial"/>
                <w:b/>
              </w:rPr>
              <w:t xml:space="preserve"> </w:t>
            </w:r>
            <w:r w:rsidRPr="00C12FDB">
              <w:rPr>
                <w:rFonts w:cs="Arial"/>
              </w:rPr>
              <w:t>ce questionnaire est à remplir et à renvoyer par les opérateurs désignés.</w:t>
            </w:r>
          </w:p>
        </w:tc>
      </w:tr>
    </w:tbl>
    <w:p w14:paraId="3868C595" w14:textId="77777777" w:rsidR="004E7F60" w:rsidRPr="00C12FDB" w:rsidRDefault="004E7F60" w:rsidP="004E7F60">
      <w:pPr>
        <w:pStyle w:val="0Textedebase"/>
        <w:rPr>
          <w:rFonts w:cs="Arial"/>
        </w:rPr>
      </w:pPr>
    </w:p>
    <w:p w14:paraId="2670B441" w14:textId="5980B796" w:rsidR="004E7F60" w:rsidRPr="00C12FDB" w:rsidRDefault="004E7F60" w:rsidP="004E7F60">
      <w:pPr>
        <w:jc w:val="both"/>
        <w:rPr>
          <w:rFonts w:cs="Arial"/>
        </w:rPr>
      </w:pPr>
      <w:r w:rsidRPr="00C12FDB">
        <w:rPr>
          <w:rFonts w:cs="Arial"/>
        </w:rPr>
        <w:t xml:space="preserve">Ce questionnaire est à remplir et à renvoyer, sans lettre de couverture, dès que possible, </w:t>
      </w:r>
      <w:r w:rsidRPr="00C12FDB">
        <w:rPr>
          <w:rFonts w:cs="Arial"/>
          <w:b/>
        </w:rPr>
        <w:t>mais le 1</w:t>
      </w:r>
      <w:r w:rsidRPr="00C12FDB">
        <w:rPr>
          <w:rFonts w:cs="Arial"/>
          <w:b/>
          <w:vertAlign w:val="superscript"/>
        </w:rPr>
        <w:t>er</w:t>
      </w:r>
      <w:r w:rsidRPr="00C12FDB">
        <w:rPr>
          <w:rFonts w:cs="Arial"/>
          <w:b/>
        </w:rPr>
        <w:t xml:space="preserve"> mai 2026 au plus tard</w:t>
      </w:r>
      <w:r w:rsidRPr="00C12FDB">
        <w:rPr>
          <w:rFonts w:cs="Arial"/>
        </w:rPr>
        <w:t>, par courrier électronique à Vytis Staskevicius (</w:t>
      </w:r>
      <w:hyperlink r:id="rId8" w:history="1">
        <w:r w:rsidRPr="00C12FDB">
          <w:rPr>
            <w:rStyle w:val="Lienhypertexte"/>
            <w:rFonts w:cs="Arial"/>
          </w:rPr>
          <w:t>staskeviciusv@upu.int</w:t>
        </w:r>
      </w:hyperlink>
      <w:r w:rsidRPr="00C12FDB">
        <w:rPr>
          <w:rFonts w:cs="Arial"/>
        </w:rPr>
        <w:t xml:space="preserve">) et à Virginia Espinoza </w:t>
      </w:r>
      <w:r w:rsidR="00F33FBC">
        <w:rPr>
          <w:rFonts w:cs="Arial"/>
        </w:rPr>
        <w:t>(</w:t>
      </w:r>
      <w:hyperlink r:id="rId9" w:history="1">
        <w:r w:rsidR="00F33FBC" w:rsidRPr="0029106E">
          <w:rPr>
            <w:rStyle w:val="Lienhypertexte"/>
            <w:rFonts w:cs="Arial"/>
          </w:rPr>
          <w:t>espinozav@upu.int</w:t>
        </w:r>
      </w:hyperlink>
      <w:r w:rsidRPr="00C12FDB">
        <w:rPr>
          <w:rFonts w:cs="Arial"/>
        </w:rPr>
        <w:t>), ou à l</w:t>
      </w:r>
      <w:r w:rsidR="00C12FDB">
        <w:rPr>
          <w:rFonts w:cs="Arial"/>
        </w:rPr>
        <w:t>’</w:t>
      </w:r>
      <w:r w:rsidRPr="00C12FDB">
        <w:rPr>
          <w:rFonts w:cs="Arial"/>
        </w:rPr>
        <w:t>adresse postale suivante:</w:t>
      </w:r>
    </w:p>
    <w:p w14:paraId="4CBFF442" w14:textId="77777777" w:rsidR="004E7F60" w:rsidRPr="00C12FDB" w:rsidRDefault="004E7F60" w:rsidP="004E7F60">
      <w:pPr>
        <w:spacing w:before="120"/>
        <w:jc w:val="both"/>
        <w:rPr>
          <w:rFonts w:cs="Arial"/>
        </w:rPr>
      </w:pPr>
      <w:r w:rsidRPr="00C12FDB">
        <w:rPr>
          <w:rFonts w:cs="Arial"/>
        </w:rPr>
        <w:t>Vytis Staskevicius</w:t>
      </w:r>
    </w:p>
    <w:p w14:paraId="7B0A6F39" w14:textId="77777777" w:rsidR="004E7F60" w:rsidRPr="00C12FDB" w:rsidRDefault="004E7F60" w:rsidP="004E7F60">
      <w:pPr>
        <w:jc w:val="both"/>
        <w:rPr>
          <w:rFonts w:cs="Arial"/>
        </w:rPr>
      </w:pPr>
      <w:r w:rsidRPr="00C12FDB">
        <w:rPr>
          <w:rFonts w:cs="Arial"/>
        </w:rPr>
        <w:t>Expert «Développement et intégration de la rémunération»</w:t>
      </w:r>
    </w:p>
    <w:p w14:paraId="5A59E972" w14:textId="073025DF" w:rsidR="004E7F60" w:rsidRPr="00C12FDB" w:rsidRDefault="004E7F60" w:rsidP="004E7F60">
      <w:pPr>
        <w:jc w:val="both"/>
        <w:rPr>
          <w:rFonts w:cs="Arial"/>
        </w:rPr>
      </w:pPr>
      <w:r w:rsidRPr="00C12FDB">
        <w:rPr>
          <w:rFonts w:cs="Arial"/>
        </w:rPr>
        <w:t>Bureau international de l</w:t>
      </w:r>
      <w:r w:rsidR="00C12FDB">
        <w:rPr>
          <w:rFonts w:cs="Arial"/>
        </w:rPr>
        <w:t>’</w:t>
      </w:r>
      <w:r w:rsidRPr="00C12FDB">
        <w:rPr>
          <w:rFonts w:cs="Arial"/>
        </w:rPr>
        <w:t>UPU</w:t>
      </w:r>
    </w:p>
    <w:p w14:paraId="465DB17A" w14:textId="77777777" w:rsidR="004E7F60" w:rsidRPr="00C12FDB" w:rsidRDefault="004E7F60" w:rsidP="004E7F60">
      <w:pPr>
        <w:jc w:val="both"/>
        <w:rPr>
          <w:rFonts w:cs="Arial"/>
        </w:rPr>
      </w:pPr>
      <w:r w:rsidRPr="00C12FDB">
        <w:rPr>
          <w:rFonts w:cs="Arial"/>
        </w:rPr>
        <w:t>3015 BERNE</w:t>
      </w:r>
    </w:p>
    <w:p w14:paraId="136E60DA" w14:textId="77777777" w:rsidR="004E7F60" w:rsidRPr="00C12FDB" w:rsidRDefault="004E7F60" w:rsidP="004E7F60">
      <w:pPr>
        <w:jc w:val="both"/>
        <w:rPr>
          <w:rFonts w:cs="Arial"/>
        </w:rPr>
      </w:pPr>
      <w:r w:rsidRPr="00C12FDB">
        <w:rPr>
          <w:rFonts w:cs="Arial"/>
        </w:rPr>
        <w:t>SUISSE</w:t>
      </w:r>
    </w:p>
    <w:p w14:paraId="0C864245" w14:textId="77777777" w:rsidR="004E7F60" w:rsidRPr="00C12FDB" w:rsidRDefault="004E7F60" w:rsidP="004E7F60">
      <w:pPr>
        <w:jc w:val="both"/>
        <w:rPr>
          <w:rFonts w:cs="Arial"/>
        </w:rPr>
      </w:pPr>
    </w:p>
    <w:p w14:paraId="15A917F4" w14:textId="77777777" w:rsidR="004E7F60" w:rsidRPr="00C12FDB" w:rsidRDefault="004E7F60" w:rsidP="004E7F60">
      <w:pPr>
        <w:pStyle w:val="0Textedebase"/>
        <w:rPr>
          <w:rFonts w:cs="Arial"/>
          <w:bCs/>
        </w:rPr>
      </w:pPr>
      <w:r w:rsidRPr="00C12FDB">
        <w:rPr>
          <w:rFonts w:cs="Arial"/>
          <w:bCs/>
        </w:rPr>
        <w:t>La version électronique du questionnaire est disponible en ligne (</w:t>
      </w:r>
      <w:hyperlink r:id="rId10" w:history="1">
        <w:r w:rsidRPr="00C12FDB">
          <w:rPr>
            <w:rStyle w:val="Lienhypertexte"/>
            <w:rFonts w:cs="Arial"/>
            <w:bCs/>
          </w:rPr>
          <w:t>www.surveymonkey.com/r/DFS8SK8</w:t>
        </w:r>
      </w:hyperlink>
      <w:r w:rsidRPr="00C12FDB">
        <w:rPr>
          <w:rStyle w:val="Lienhypertexte"/>
          <w:rFonts w:cs="Arial"/>
          <w:bCs/>
        </w:rPr>
        <w:t>).</w:t>
      </w:r>
    </w:p>
    <w:p w14:paraId="130898AD" w14:textId="77777777" w:rsidR="004E7F60" w:rsidRPr="00C12FDB" w:rsidRDefault="004E7F60" w:rsidP="004E7F60">
      <w:pPr>
        <w:pStyle w:val="0Textedebase"/>
        <w:rPr>
          <w:rFonts w:cs="Arial"/>
          <w:bCs/>
        </w:rPr>
      </w:pPr>
    </w:p>
    <w:p w14:paraId="4BD5DEB1" w14:textId="1F8393CC" w:rsidR="004E7F60" w:rsidRPr="00C12FDB" w:rsidRDefault="004E7F60" w:rsidP="004E7F60">
      <w:pPr>
        <w:pStyle w:val="0Textedebase"/>
        <w:rPr>
          <w:rFonts w:cs="Arial"/>
          <w:bCs/>
        </w:rPr>
      </w:pPr>
      <w:r w:rsidRPr="00C12FDB">
        <w:rPr>
          <w:rFonts w:cs="Arial"/>
          <w:bCs/>
        </w:rPr>
        <w:t xml:space="preserve">Veuillez noter que les opérateurs désignés qui soumettent leur notification par </w:t>
      </w:r>
      <w:proofErr w:type="spellStart"/>
      <w:r w:rsidRPr="00C12FDB">
        <w:rPr>
          <w:rFonts w:cs="Arial"/>
          <w:bCs/>
        </w:rPr>
        <w:t>SurveyMonkey</w:t>
      </w:r>
      <w:proofErr w:type="spellEnd"/>
      <w:r w:rsidRPr="00C12FDB">
        <w:rPr>
          <w:rFonts w:cs="Arial"/>
          <w:bCs/>
        </w:rPr>
        <w:t xml:space="preserve"> n</w:t>
      </w:r>
      <w:r w:rsidR="00C12FDB">
        <w:rPr>
          <w:rFonts w:cs="Arial"/>
          <w:bCs/>
        </w:rPr>
        <w:t>’</w:t>
      </w:r>
      <w:r w:rsidRPr="00C12FDB">
        <w:rPr>
          <w:rFonts w:cs="Arial"/>
          <w:bCs/>
        </w:rPr>
        <w:t>ont pas besoin de renvoyer les formules au format Word par courrier électronique.</w:t>
      </w:r>
    </w:p>
    <w:p w14:paraId="66CD0ED4" w14:textId="77777777" w:rsidR="004E7F60" w:rsidRPr="00C12FDB" w:rsidRDefault="004E7F60" w:rsidP="004E7F60">
      <w:pPr>
        <w:jc w:val="both"/>
        <w:rPr>
          <w:rFonts w:cs="Arial"/>
        </w:rPr>
      </w:pPr>
    </w:p>
    <w:p w14:paraId="63BED5BF" w14:textId="796F744D" w:rsidR="004E7F60" w:rsidRPr="00C12FDB" w:rsidRDefault="004E7F60" w:rsidP="004E7F60">
      <w:pPr>
        <w:jc w:val="both"/>
        <w:rPr>
          <w:rFonts w:cs="Arial"/>
        </w:rPr>
      </w:pPr>
      <w:r w:rsidRPr="00C12FDB">
        <w:rPr>
          <w:rFonts w:cs="Arial"/>
        </w:rPr>
        <w:t>Les opérateurs désignés sont invités à envoyer leur notification par courrier électronique ou à en envoyer une copie par courrier électronique en cas d</w:t>
      </w:r>
      <w:r w:rsidR="00C12FDB">
        <w:rPr>
          <w:rFonts w:cs="Arial"/>
        </w:rPr>
        <w:t>’</w:t>
      </w:r>
      <w:r w:rsidRPr="00C12FDB">
        <w:rPr>
          <w:rFonts w:cs="Arial"/>
        </w:rPr>
        <w:t>envoi par voie postale.</w:t>
      </w:r>
    </w:p>
    <w:p w14:paraId="2B1AEE75" w14:textId="77777777" w:rsidR="004E7F60" w:rsidRPr="00C12FDB" w:rsidRDefault="004E7F60" w:rsidP="004E7F60">
      <w:pPr>
        <w:pStyle w:val="0Textedebase"/>
        <w:rPr>
          <w:rFonts w:cs="Arial"/>
        </w:rPr>
      </w:pPr>
    </w:p>
    <w:p w14:paraId="433AD1D3" w14:textId="77777777" w:rsidR="004E7F60" w:rsidRPr="00C12FDB" w:rsidRDefault="004E7F60" w:rsidP="004E7F60">
      <w:pPr>
        <w:pStyle w:val="0Textedebase"/>
        <w:rPr>
          <w:rFonts w:cs="Arial"/>
        </w:rPr>
      </w:pPr>
      <w:r w:rsidRPr="00C12FDB">
        <w:rPr>
          <w:rFonts w:cs="Arial"/>
        </w:rPr>
        <w:t>Si vous rencontrez des difficultés à remplir ce questionnaire, veuillez contacter Vytis Staskevicius et Virginia Espinoza par courrier électronique.</w:t>
      </w:r>
    </w:p>
    <w:p w14:paraId="429064E4" w14:textId="77777777" w:rsidR="004E7F60" w:rsidRPr="00C12FDB" w:rsidRDefault="004E7F60" w:rsidP="004E7F60">
      <w:pPr>
        <w:pStyle w:val="0Textedebase"/>
        <w:rPr>
          <w:rFonts w:cs="Arial"/>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2791"/>
        <w:gridCol w:w="2004"/>
      </w:tblGrid>
      <w:tr w:rsidR="004E7F60" w:rsidRPr="00C12FDB" w14:paraId="1AC6219E" w14:textId="77777777" w:rsidTr="0005520D">
        <w:trPr>
          <w:cantSplit/>
        </w:trPr>
        <w:tc>
          <w:tcPr>
            <w:tcW w:w="9654" w:type="dxa"/>
            <w:gridSpan w:val="3"/>
            <w:tcMar>
              <w:top w:w="57" w:type="dxa"/>
              <w:bottom w:w="0" w:type="dxa"/>
            </w:tcMar>
          </w:tcPr>
          <w:p w14:paraId="387B657B" w14:textId="77777777" w:rsidR="004E7F60" w:rsidRPr="00C12FDB" w:rsidRDefault="004E7F60" w:rsidP="0005520D">
            <w:pPr>
              <w:spacing w:line="240" w:lineRule="auto"/>
              <w:rPr>
                <w:rFonts w:cs="Arial"/>
                <w:sz w:val="16"/>
                <w:szCs w:val="16"/>
              </w:rPr>
            </w:pPr>
            <w:r w:rsidRPr="00C12FDB">
              <w:rPr>
                <w:rFonts w:cs="Arial"/>
                <w:sz w:val="16"/>
              </w:rPr>
              <w:t>Opérateur désigné</w:t>
            </w:r>
          </w:p>
          <w:p w14:paraId="70F0F3AD" w14:textId="77777777" w:rsidR="004E7F60" w:rsidRPr="00C12FDB" w:rsidRDefault="004E7F60" w:rsidP="0005520D">
            <w:pPr>
              <w:spacing w:line="240" w:lineRule="auto"/>
              <w:ind w:right="74"/>
              <w:rPr>
                <w:rFonts w:cs="Arial"/>
                <w:sz w:val="16"/>
                <w:szCs w:val="16"/>
              </w:rPr>
            </w:pPr>
          </w:p>
          <w:p w14:paraId="66C12570" w14:textId="77777777" w:rsidR="004E7F60" w:rsidRPr="00C12FDB" w:rsidRDefault="004E7F60" w:rsidP="0005520D">
            <w:pPr>
              <w:spacing w:line="240" w:lineRule="auto"/>
              <w:ind w:right="74"/>
              <w:rPr>
                <w:rFonts w:cs="Arial"/>
                <w:sz w:val="16"/>
                <w:szCs w:val="16"/>
              </w:rPr>
            </w:pPr>
          </w:p>
        </w:tc>
      </w:tr>
      <w:tr w:rsidR="004E7F60" w:rsidRPr="00C12FDB" w14:paraId="54EE4F78" w14:textId="77777777" w:rsidTr="0005520D">
        <w:trPr>
          <w:cantSplit/>
          <w:trHeight w:val="33"/>
        </w:trPr>
        <w:tc>
          <w:tcPr>
            <w:tcW w:w="7650" w:type="dxa"/>
            <w:gridSpan w:val="2"/>
            <w:tcBorders>
              <w:right w:val="nil"/>
            </w:tcBorders>
            <w:tcMar>
              <w:top w:w="57" w:type="dxa"/>
              <w:bottom w:w="0" w:type="dxa"/>
            </w:tcMar>
          </w:tcPr>
          <w:p w14:paraId="3E045B67" w14:textId="77777777" w:rsidR="004E7F60" w:rsidRPr="00C12FDB" w:rsidRDefault="004E7F60" w:rsidP="0005520D">
            <w:pPr>
              <w:spacing w:line="240" w:lineRule="auto"/>
              <w:ind w:right="75"/>
              <w:rPr>
                <w:rFonts w:cs="Arial"/>
                <w:sz w:val="16"/>
                <w:szCs w:val="16"/>
              </w:rPr>
            </w:pPr>
            <w:r w:rsidRPr="00C12FDB">
              <w:rPr>
                <w:rFonts w:cs="Arial"/>
                <w:sz w:val="16"/>
              </w:rPr>
              <w:t>Nom et prénom</w:t>
            </w:r>
          </w:p>
          <w:p w14:paraId="48335050" w14:textId="77777777" w:rsidR="004E7F60" w:rsidRPr="00C12FDB" w:rsidRDefault="004E7F60" w:rsidP="0005520D">
            <w:pPr>
              <w:spacing w:line="240" w:lineRule="auto"/>
              <w:rPr>
                <w:rFonts w:cs="Arial"/>
                <w:sz w:val="16"/>
                <w:szCs w:val="16"/>
              </w:rPr>
            </w:pPr>
          </w:p>
          <w:p w14:paraId="739CFB5B" w14:textId="77777777" w:rsidR="004E7F60" w:rsidRPr="00C12FDB" w:rsidRDefault="004E7F60" w:rsidP="0005520D">
            <w:pPr>
              <w:spacing w:line="240" w:lineRule="auto"/>
              <w:rPr>
                <w:rFonts w:cs="Arial"/>
                <w:sz w:val="16"/>
                <w:szCs w:val="16"/>
              </w:rPr>
            </w:pPr>
          </w:p>
        </w:tc>
        <w:tc>
          <w:tcPr>
            <w:tcW w:w="2004" w:type="dxa"/>
            <w:tcBorders>
              <w:left w:val="nil"/>
            </w:tcBorders>
            <w:tcMar>
              <w:top w:w="57" w:type="dxa"/>
            </w:tcMar>
            <w:vAlign w:val="bottom"/>
          </w:tcPr>
          <w:p w14:paraId="6863BA48" w14:textId="77777777" w:rsidR="004E7F60" w:rsidRPr="00C12FDB" w:rsidRDefault="009413EC" w:rsidP="0005520D">
            <w:pPr>
              <w:tabs>
                <w:tab w:val="left" w:pos="921"/>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4E7F60" w:rsidRPr="00C12FDB">
                  <w:rPr>
                    <w:rFonts w:cs="Arial"/>
                    <w:sz w:val="24"/>
                    <w:szCs w:val="24"/>
                  </w:rPr>
                  <w:sym w:font="Wingdings" w:char="F071"/>
                </w:r>
              </w:sdtContent>
            </w:sdt>
            <w:r w:rsidR="004E7F60" w:rsidRPr="00C12FDB">
              <w:rPr>
                <w:rFonts w:cs="Arial"/>
                <w:sz w:val="16"/>
              </w:rPr>
              <w:t xml:space="preserve"> M</w:t>
            </w:r>
            <w:r w:rsidR="004E7F60" w:rsidRPr="00C12FDB">
              <w:rPr>
                <w:rFonts w:cs="Arial"/>
                <w:sz w:val="16"/>
                <w:vertAlign w:val="superscript"/>
              </w:rPr>
              <w:t>me</w:t>
            </w:r>
            <w:r w:rsidR="004E7F60" w:rsidRPr="00C12FDB">
              <w:rPr>
                <w:rFonts w:cs="Arial"/>
                <w:sz w:val="16"/>
              </w:rPr>
              <w:tab/>
            </w:r>
            <w:sdt>
              <w:sdtPr>
                <w:rPr>
                  <w:rFonts w:cs="Arial"/>
                  <w:sz w:val="24"/>
                  <w:szCs w:val="24"/>
                </w:rPr>
                <w:id w:val="-823508224"/>
                <w14:checkbox>
                  <w14:checked w14:val="0"/>
                  <w14:checkedState w14:val="0054" w14:font="Wingdings 2"/>
                  <w14:uncheckedState w14:val="0071" w14:font="Wingdings"/>
                </w14:checkbox>
              </w:sdtPr>
              <w:sdtEndPr/>
              <w:sdtContent>
                <w:r w:rsidR="004E7F60" w:rsidRPr="00C12FDB">
                  <w:rPr>
                    <w:rFonts w:cs="Arial"/>
                    <w:sz w:val="24"/>
                    <w:szCs w:val="24"/>
                  </w:rPr>
                  <w:sym w:font="Wingdings" w:char="F071"/>
                </w:r>
              </w:sdtContent>
            </w:sdt>
            <w:r w:rsidR="004E7F60" w:rsidRPr="00C12FDB">
              <w:rPr>
                <w:rFonts w:cs="Arial"/>
                <w:sz w:val="16"/>
              </w:rPr>
              <w:t xml:space="preserve"> M.</w:t>
            </w:r>
          </w:p>
        </w:tc>
      </w:tr>
      <w:tr w:rsidR="004E7F60" w:rsidRPr="00C12FDB" w14:paraId="43860657" w14:textId="77777777" w:rsidTr="0005520D">
        <w:trPr>
          <w:cantSplit/>
        </w:trPr>
        <w:tc>
          <w:tcPr>
            <w:tcW w:w="9654" w:type="dxa"/>
            <w:gridSpan w:val="3"/>
            <w:tcMar>
              <w:top w:w="57" w:type="dxa"/>
              <w:bottom w:w="0" w:type="dxa"/>
            </w:tcMar>
          </w:tcPr>
          <w:p w14:paraId="556B9D56" w14:textId="77777777" w:rsidR="004E7F60" w:rsidRPr="00C12FDB" w:rsidRDefault="004E7F60" w:rsidP="0005520D">
            <w:pPr>
              <w:spacing w:line="240" w:lineRule="auto"/>
              <w:ind w:right="74"/>
              <w:rPr>
                <w:rFonts w:cs="Arial"/>
                <w:sz w:val="16"/>
                <w:szCs w:val="16"/>
              </w:rPr>
            </w:pPr>
            <w:r w:rsidRPr="00C12FDB">
              <w:rPr>
                <w:rFonts w:cs="Arial"/>
                <w:sz w:val="16"/>
              </w:rPr>
              <w:t>Fonction/titre</w:t>
            </w:r>
          </w:p>
          <w:p w14:paraId="1C7FD7EB" w14:textId="77777777" w:rsidR="004E7F60" w:rsidRPr="00C12FDB" w:rsidRDefault="004E7F60" w:rsidP="0005520D">
            <w:pPr>
              <w:spacing w:line="240" w:lineRule="auto"/>
              <w:ind w:right="74"/>
              <w:rPr>
                <w:rFonts w:cs="Arial"/>
                <w:sz w:val="16"/>
                <w:szCs w:val="16"/>
              </w:rPr>
            </w:pPr>
          </w:p>
          <w:p w14:paraId="6F8B0685" w14:textId="77777777" w:rsidR="004E7F60" w:rsidRPr="00C12FDB" w:rsidRDefault="004E7F60" w:rsidP="0005520D">
            <w:pPr>
              <w:spacing w:line="240" w:lineRule="auto"/>
              <w:ind w:right="74"/>
              <w:rPr>
                <w:rFonts w:cs="Arial"/>
                <w:sz w:val="16"/>
                <w:szCs w:val="16"/>
              </w:rPr>
            </w:pPr>
          </w:p>
        </w:tc>
      </w:tr>
      <w:tr w:rsidR="004E7F60" w:rsidRPr="00C12FDB" w14:paraId="07325E3C" w14:textId="77777777" w:rsidTr="0005520D">
        <w:trPr>
          <w:cantSplit/>
        </w:trPr>
        <w:tc>
          <w:tcPr>
            <w:tcW w:w="9654" w:type="dxa"/>
            <w:gridSpan w:val="3"/>
            <w:tcMar>
              <w:top w:w="57" w:type="dxa"/>
              <w:bottom w:w="0" w:type="dxa"/>
            </w:tcMar>
          </w:tcPr>
          <w:p w14:paraId="07AE1259" w14:textId="77777777" w:rsidR="004E7F60" w:rsidRPr="00C12FDB" w:rsidRDefault="004E7F60" w:rsidP="0005520D">
            <w:pPr>
              <w:spacing w:line="240" w:lineRule="auto"/>
              <w:ind w:right="74"/>
              <w:rPr>
                <w:rFonts w:cs="Arial"/>
                <w:sz w:val="16"/>
                <w:szCs w:val="16"/>
              </w:rPr>
            </w:pPr>
            <w:r w:rsidRPr="00C12FDB">
              <w:rPr>
                <w:rFonts w:cs="Arial"/>
                <w:sz w:val="16"/>
              </w:rPr>
              <w:t>Adresse</w:t>
            </w:r>
          </w:p>
          <w:p w14:paraId="3C029289" w14:textId="77777777" w:rsidR="004E7F60" w:rsidRPr="00C12FDB" w:rsidRDefault="004E7F60" w:rsidP="0005520D">
            <w:pPr>
              <w:spacing w:line="240" w:lineRule="auto"/>
              <w:ind w:right="74"/>
              <w:rPr>
                <w:rFonts w:cs="Arial"/>
                <w:sz w:val="16"/>
                <w:szCs w:val="16"/>
              </w:rPr>
            </w:pPr>
          </w:p>
          <w:p w14:paraId="49BC6012" w14:textId="77777777" w:rsidR="004E7F60" w:rsidRPr="00C12FDB" w:rsidRDefault="004E7F60" w:rsidP="0005520D">
            <w:pPr>
              <w:spacing w:line="240" w:lineRule="auto"/>
              <w:ind w:right="74"/>
              <w:rPr>
                <w:rFonts w:cs="Arial"/>
                <w:sz w:val="16"/>
                <w:szCs w:val="16"/>
              </w:rPr>
            </w:pPr>
          </w:p>
          <w:p w14:paraId="5ABE6542" w14:textId="77777777" w:rsidR="004E7F60" w:rsidRPr="00C12FDB" w:rsidRDefault="004E7F60" w:rsidP="0005520D">
            <w:pPr>
              <w:spacing w:line="240" w:lineRule="auto"/>
              <w:ind w:right="74"/>
              <w:rPr>
                <w:rFonts w:cs="Arial"/>
                <w:sz w:val="16"/>
                <w:szCs w:val="16"/>
              </w:rPr>
            </w:pPr>
          </w:p>
          <w:p w14:paraId="553F8332" w14:textId="77777777" w:rsidR="004E7F60" w:rsidRPr="00C12FDB" w:rsidRDefault="004E7F60" w:rsidP="0005520D">
            <w:pPr>
              <w:spacing w:line="240" w:lineRule="auto"/>
              <w:ind w:right="74"/>
              <w:rPr>
                <w:rFonts w:cs="Arial"/>
                <w:sz w:val="16"/>
                <w:szCs w:val="16"/>
              </w:rPr>
            </w:pPr>
          </w:p>
          <w:p w14:paraId="0098F66D" w14:textId="77777777" w:rsidR="004E7F60" w:rsidRPr="00C12FDB" w:rsidRDefault="004E7F60" w:rsidP="0005520D">
            <w:pPr>
              <w:spacing w:line="240" w:lineRule="auto"/>
              <w:ind w:right="74"/>
              <w:rPr>
                <w:rFonts w:cs="Arial"/>
                <w:sz w:val="16"/>
                <w:szCs w:val="16"/>
              </w:rPr>
            </w:pPr>
          </w:p>
        </w:tc>
      </w:tr>
      <w:tr w:rsidR="004E7F60" w:rsidRPr="00C12FDB" w14:paraId="423E1A04" w14:textId="77777777" w:rsidTr="0005520D">
        <w:trPr>
          <w:cantSplit/>
          <w:trHeight w:val="192"/>
        </w:trPr>
        <w:tc>
          <w:tcPr>
            <w:tcW w:w="4859" w:type="dxa"/>
            <w:tcMar>
              <w:top w:w="57" w:type="dxa"/>
              <w:bottom w:w="0" w:type="dxa"/>
            </w:tcMar>
          </w:tcPr>
          <w:p w14:paraId="3255E4D6" w14:textId="77777777" w:rsidR="004E7F60" w:rsidRPr="00C12FDB" w:rsidRDefault="004E7F60" w:rsidP="0005520D">
            <w:pPr>
              <w:spacing w:line="240" w:lineRule="auto"/>
              <w:ind w:right="74"/>
              <w:rPr>
                <w:rFonts w:cs="Arial"/>
                <w:sz w:val="16"/>
                <w:szCs w:val="16"/>
              </w:rPr>
            </w:pPr>
            <w:r w:rsidRPr="00C12FDB">
              <w:rPr>
                <w:rFonts w:cs="Arial"/>
                <w:sz w:val="16"/>
              </w:rPr>
              <w:t>Téléphone</w:t>
            </w:r>
          </w:p>
          <w:p w14:paraId="2438BE32" w14:textId="77777777" w:rsidR="004E7F60" w:rsidRPr="00C12FDB" w:rsidRDefault="004E7F60" w:rsidP="0005520D">
            <w:pPr>
              <w:spacing w:line="240" w:lineRule="auto"/>
              <w:ind w:right="74"/>
              <w:rPr>
                <w:rFonts w:cs="Arial"/>
                <w:sz w:val="16"/>
                <w:szCs w:val="16"/>
              </w:rPr>
            </w:pPr>
          </w:p>
          <w:p w14:paraId="2FE55B32" w14:textId="77777777" w:rsidR="004E7F60" w:rsidRPr="00C12FDB" w:rsidRDefault="004E7F60" w:rsidP="0005520D">
            <w:pPr>
              <w:spacing w:line="240" w:lineRule="auto"/>
              <w:ind w:right="74"/>
              <w:rPr>
                <w:rFonts w:cs="Arial"/>
                <w:sz w:val="16"/>
                <w:szCs w:val="16"/>
              </w:rPr>
            </w:pPr>
          </w:p>
        </w:tc>
        <w:tc>
          <w:tcPr>
            <w:tcW w:w="4795" w:type="dxa"/>
            <w:gridSpan w:val="2"/>
            <w:tcMar>
              <w:top w:w="57" w:type="dxa"/>
              <w:bottom w:w="0" w:type="dxa"/>
            </w:tcMar>
          </w:tcPr>
          <w:p w14:paraId="0CE852E3" w14:textId="77777777" w:rsidR="004E7F60" w:rsidRPr="00C12FDB" w:rsidRDefault="004E7F60" w:rsidP="0005520D">
            <w:pPr>
              <w:spacing w:line="240" w:lineRule="auto"/>
              <w:ind w:right="74"/>
              <w:rPr>
                <w:rFonts w:cs="Arial"/>
                <w:sz w:val="16"/>
                <w:szCs w:val="16"/>
              </w:rPr>
            </w:pPr>
            <w:r w:rsidRPr="00C12FDB">
              <w:rPr>
                <w:rFonts w:cs="Arial"/>
                <w:sz w:val="16"/>
              </w:rPr>
              <w:t>Télécopie</w:t>
            </w:r>
          </w:p>
          <w:p w14:paraId="47C095C2" w14:textId="77777777" w:rsidR="004E7F60" w:rsidRPr="00C12FDB" w:rsidRDefault="004E7F60" w:rsidP="0005520D">
            <w:pPr>
              <w:spacing w:line="240" w:lineRule="auto"/>
              <w:ind w:right="74"/>
              <w:rPr>
                <w:rFonts w:cs="Arial"/>
                <w:sz w:val="16"/>
                <w:szCs w:val="16"/>
              </w:rPr>
            </w:pPr>
          </w:p>
        </w:tc>
      </w:tr>
      <w:tr w:rsidR="004E7F60" w:rsidRPr="00C12FDB" w14:paraId="3C1D85F9" w14:textId="77777777" w:rsidTr="0005520D">
        <w:trPr>
          <w:cantSplit/>
        </w:trPr>
        <w:tc>
          <w:tcPr>
            <w:tcW w:w="9654" w:type="dxa"/>
            <w:gridSpan w:val="3"/>
            <w:tcMar>
              <w:top w:w="57" w:type="dxa"/>
              <w:bottom w:w="0" w:type="dxa"/>
            </w:tcMar>
          </w:tcPr>
          <w:p w14:paraId="6378E836" w14:textId="77777777" w:rsidR="004E7F60" w:rsidRPr="00C12FDB" w:rsidRDefault="004E7F60" w:rsidP="0005520D">
            <w:pPr>
              <w:spacing w:line="240" w:lineRule="auto"/>
              <w:ind w:right="74"/>
              <w:rPr>
                <w:rFonts w:eastAsia="SimSun" w:cs="Arial"/>
                <w:sz w:val="16"/>
                <w:szCs w:val="16"/>
              </w:rPr>
            </w:pPr>
            <w:r w:rsidRPr="00C12FDB">
              <w:rPr>
                <w:rFonts w:cs="Arial"/>
                <w:sz w:val="16"/>
              </w:rPr>
              <w:t>Adresse électronique</w:t>
            </w:r>
          </w:p>
          <w:p w14:paraId="30715AE0" w14:textId="77777777" w:rsidR="004E7F60" w:rsidRPr="00C12FDB" w:rsidRDefault="004E7F60" w:rsidP="0005520D">
            <w:pPr>
              <w:spacing w:line="240" w:lineRule="auto"/>
              <w:ind w:right="74"/>
              <w:rPr>
                <w:rFonts w:eastAsia="SimSun" w:cs="Arial"/>
                <w:sz w:val="16"/>
                <w:szCs w:val="16"/>
              </w:rPr>
            </w:pPr>
          </w:p>
          <w:p w14:paraId="07B81580" w14:textId="77777777" w:rsidR="004E7F60" w:rsidRPr="00C12FDB" w:rsidRDefault="004E7F60" w:rsidP="0005520D">
            <w:pPr>
              <w:spacing w:line="240" w:lineRule="auto"/>
              <w:ind w:right="74"/>
              <w:rPr>
                <w:rFonts w:eastAsia="SimSun" w:cs="Arial"/>
                <w:sz w:val="16"/>
                <w:szCs w:val="16"/>
              </w:rPr>
            </w:pPr>
          </w:p>
        </w:tc>
      </w:tr>
      <w:tr w:rsidR="004E7F60" w:rsidRPr="00C12FDB" w14:paraId="043FF8D8" w14:textId="77777777" w:rsidTr="0005520D">
        <w:trPr>
          <w:cantSplit/>
        </w:trPr>
        <w:tc>
          <w:tcPr>
            <w:tcW w:w="4859" w:type="dxa"/>
            <w:tcMar>
              <w:top w:w="57" w:type="dxa"/>
              <w:bottom w:w="0" w:type="dxa"/>
            </w:tcMar>
          </w:tcPr>
          <w:p w14:paraId="53A97D51" w14:textId="77777777" w:rsidR="004E7F60" w:rsidRPr="00C12FDB" w:rsidRDefault="004E7F60" w:rsidP="0005520D">
            <w:pPr>
              <w:spacing w:line="240" w:lineRule="auto"/>
              <w:ind w:right="74"/>
              <w:rPr>
                <w:rFonts w:cs="Arial"/>
                <w:sz w:val="16"/>
                <w:szCs w:val="16"/>
              </w:rPr>
            </w:pPr>
            <w:r w:rsidRPr="00C12FDB">
              <w:rPr>
                <w:rFonts w:cs="Arial"/>
                <w:sz w:val="16"/>
              </w:rPr>
              <w:t>Date</w:t>
            </w:r>
          </w:p>
          <w:p w14:paraId="283980CB" w14:textId="77777777" w:rsidR="004E7F60" w:rsidRPr="00C12FDB" w:rsidRDefault="004E7F60" w:rsidP="0005520D">
            <w:pPr>
              <w:spacing w:line="240" w:lineRule="auto"/>
              <w:ind w:right="74"/>
              <w:rPr>
                <w:rFonts w:cs="Arial"/>
                <w:sz w:val="16"/>
                <w:szCs w:val="16"/>
              </w:rPr>
            </w:pPr>
          </w:p>
          <w:p w14:paraId="410EA298" w14:textId="77777777" w:rsidR="004E7F60" w:rsidRPr="00C12FDB" w:rsidRDefault="004E7F60" w:rsidP="0005520D">
            <w:pPr>
              <w:spacing w:line="240" w:lineRule="auto"/>
              <w:ind w:right="74"/>
              <w:rPr>
                <w:rFonts w:cs="Arial"/>
                <w:sz w:val="16"/>
                <w:szCs w:val="16"/>
              </w:rPr>
            </w:pPr>
          </w:p>
        </w:tc>
        <w:tc>
          <w:tcPr>
            <w:tcW w:w="4795" w:type="dxa"/>
            <w:gridSpan w:val="2"/>
            <w:tcMar>
              <w:top w:w="57" w:type="dxa"/>
              <w:bottom w:w="0" w:type="dxa"/>
            </w:tcMar>
          </w:tcPr>
          <w:p w14:paraId="6980798F" w14:textId="77777777" w:rsidR="004E7F60" w:rsidRPr="00C12FDB" w:rsidRDefault="004E7F60" w:rsidP="0005520D">
            <w:pPr>
              <w:spacing w:line="240" w:lineRule="auto"/>
              <w:ind w:right="74"/>
              <w:rPr>
                <w:rFonts w:cs="Arial"/>
                <w:sz w:val="16"/>
                <w:szCs w:val="16"/>
              </w:rPr>
            </w:pPr>
            <w:r w:rsidRPr="00C12FDB">
              <w:rPr>
                <w:rFonts w:cs="Arial"/>
                <w:sz w:val="16"/>
              </w:rPr>
              <w:t>Signature</w:t>
            </w:r>
          </w:p>
          <w:p w14:paraId="00C442B6" w14:textId="77777777" w:rsidR="004E7F60" w:rsidRPr="00C12FDB" w:rsidRDefault="004E7F60" w:rsidP="0005520D">
            <w:pPr>
              <w:spacing w:line="240" w:lineRule="auto"/>
              <w:ind w:right="74"/>
              <w:rPr>
                <w:rFonts w:eastAsia="SimSun" w:cs="Arial"/>
                <w:sz w:val="16"/>
                <w:szCs w:val="16"/>
              </w:rPr>
            </w:pPr>
          </w:p>
        </w:tc>
      </w:tr>
    </w:tbl>
    <w:p w14:paraId="253A16D7" w14:textId="77777777" w:rsidR="004E7F60" w:rsidRPr="00C12FDB" w:rsidRDefault="004E7F60" w:rsidP="004E7F60">
      <w:pPr>
        <w:jc w:val="both"/>
        <w:rPr>
          <w:rFonts w:cs="Arial"/>
        </w:rPr>
      </w:pPr>
    </w:p>
    <w:p w14:paraId="408B0710" w14:textId="77777777" w:rsidR="004E7F60" w:rsidRPr="00922D3C" w:rsidRDefault="004E7F60" w:rsidP="004E7F60">
      <w:pPr>
        <w:spacing w:line="240" w:lineRule="auto"/>
        <w:rPr>
          <w:rFonts w:cs="Arial"/>
        </w:rPr>
      </w:pPr>
      <w:r w:rsidRPr="00C12FDB">
        <w:rPr>
          <w:rFonts w:cs="Arial"/>
        </w:rPr>
        <w:br w:type="page"/>
      </w:r>
    </w:p>
    <w:p w14:paraId="309AB9E8" w14:textId="77777777" w:rsidR="004E7F60" w:rsidRPr="00C12FDB" w:rsidRDefault="004E7F60" w:rsidP="004E7F60">
      <w:pPr>
        <w:pStyle w:val="0Textedebase"/>
        <w:rPr>
          <w:rFonts w:cs="Arial"/>
          <w:b/>
          <w:bCs/>
        </w:rPr>
      </w:pPr>
      <w:r w:rsidRPr="00C12FDB">
        <w:rPr>
          <w:rFonts w:cs="Arial"/>
          <w:b/>
        </w:rPr>
        <w:lastRenderedPageBreak/>
        <w:t>Introduction</w:t>
      </w:r>
    </w:p>
    <w:p w14:paraId="3ADAC735" w14:textId="77777777" w:rsidR="004E7F60" w:rsidRPr="00C12FDB" w:rsidRDefault="004E7F60" w:rsidP="004E7F60">
      <w:pPr>
        <w:pStyle w:val="0Textedebase"/>
        <w:rPr>
          <w:rFonts w:cs="Arial"/>
        </w:rPr>
      </w:pPr>
    </w:p>
    <w:p w14:paraId="7619127E" w14:textId="77777777" w:rsidR="004E7F60" w:rsidRPr="00C12FDB" w:rsidRDefault="004E7F60" w:rsidP="004E7F60">
      <w:pPr>
        <w:pStyle w:val="0Textedebase"/>
        <w:rPr>
          <w:rFonts w:cs="Arial"/>
        </w:rPr>
      </w:pPr>
      <w:r w:rsidRPr="00C12FDB">
        <w:rPr>
          <w:rFonts w:cs="Arial"/>
        </w:rPr>
        <w:t>Les informations ci-après sont nécessaires aux fins de la notification des taux autodéclarés applicables aux colis postaux avec effet à partir du 1</w:t>
      </w:r>
      <w:r w:rsidRPr="00C12FDB">
        <w:rPr>
          <w:rFonts w:cs="Arial"/>
          <w:vertAlign w:val="superscript"/>
        </w:rPr>
        <w:t>er</w:t>
      </w:r>
      <w:r w:rsidRPr="00C12FDB">
        <w:rPr>
          <w:rFonts w:cs="Arial"/>
        </w:rPr>
        <w:t xml:space="preserve"> janvier 2027:</w:t>
      </w:r>
    </w:p>
    <w:p w14:paraId="3AE76E99" w14:textId="727774DD" w:rsidR="004E7F60" w:rsidRPr="00C12FDB" w:rsidRDefault="004E7F60" w:rsidP="004E7F60">
      <w:pPr>
        <w:pStyle w:val="1Premierretrait"/>
        <w:numPr>
          <w:ilvl w:val="0"/>
          <w:numId w:val="13"/>
        </w:numPr>
        <w:rPr>
          <w:rFonts w:cs="Arial"/>
        </w:rPr>
      </w:pPr>
      <w:r w:rsidRPr="00C12FDB">
        <w:rPr>
          <w:rFonts w:cs="Arial"/>
        </w:rPr>
        <w:t>Les taux autodéclarés sont exprimés sous la forme d</w:t>
      </w:r>
      <w:r w:rsidR="00C12FDB">
        <w:rPr>
          <w:rFonts w:cs="Arial"/>
        </w:rPr>
        <w:t>’</w:t>
      </w:r>
      <w:r w:rsidRPr="00C12FDB">
        <w:rPr>
          <w:rFonts w:cs="Arial"/>
        </w:rPr>
        <w:t>un taux par envoi et d</w:t>
      </w:r>
      <w:r w:rsidR="00C12FDB">
        <w:rPr>
          <w:rFonts w:cs="Arial"/>
        </w:rPr>
        <w:t>’</w:t>
      </w:r>
      <w:r w:rsidRPr="00C12FDB">
        <w:rPr>
          <w:rFonts w:cs="Arial"/>
        </w:rPr>
        <w:t>un taux par kilogramme dans la devise locale ou en DTS.</w:t>
      </w:r>
    </w:p>
    <w:p w14:paraId="5B8AC31D" w14:textId="77777777" w:rsidR="004E7F60" w:rsidRPr="00C12FDB" w:rsidRDefault="004E7F60" w:rsidP="004E7F60">
      <w:pPr>
        <w:pStyle w:val="1Premierretrait"/>
        <w:numPr>
          <w:ilvl w:val="0"/>
          <w:numId w:val="13"/>
        </w:numPr>
        <w:rPr>
          <w:rFonts w:cs="Arial"/>
        </w:rPr>
      </w:pPr>
      <w:r w:rsidRPr="00C12FDB">
        <w:rPr>
          <w:rFonts w:cs="Arial"/>
        </w:rPr>
        <w:t>Les taux autodéclarés ne doivent pas dépasser le revenu maximal décrit dans la partie B de la lettre, chiffres 7</w:t>
      </w:r>
      <w:r w:rsidRPr="00C12FDB">
        <w:rPr>
          <w:rFonts w:cs="Arial"/>
          <w:vertAlign w:val="superscript"/>
        </w:rPr>
        <w:t>o</w:t>
      </w:r>
      <w:r w:rsidRPr="00C12FDB">
        <w:rPr>
          <w:rFonts w:cs="Arial"/>
        </w:rPr>
        <w:t xml:space="preserve"> et 8</w:t>
      </w:r>
      <w:r w:rsidRPr="00C12FDB">
        <w:rPr>
          <w:rFonts w:cs="Arial"/>
          <w:vertAlign w:val="superscript"/>
        </w:rPr>
        <w:t>o</w:t>
      </w:r>
      <w:r w:rsidRPr="00C12FDB">
        <w:rPr>
          <w:rFonts w:cs="Arial"/>
        </w:rPr>
        <w:t xml:space="preserve"> de la sous-section «Conditions applicables aux taux autodéclarés».</w:t>
      </w:r>
    </w:p>
    <w:p w14:paraId="756C2013" w14:textId="6EBCF2D9" w:rsidR="004E7F60" w:rsidRPr="00C12FDB" w:rsidRDefault="004E7F60" w:rsidP="004E7F60">
      <w:pPr>
        <w:pStyle w:val="1Premierretrait"/>
        <w:numPr>
          <w:ilvl w:val="0"/>
          <w:numId w:val="19"/>
        </w:numPr>
        <w:tabs>
          <w:tab w:val="left" w:pos="540"/>
        </w:tabs>
        <w:ind w:left="630" w:hanging="630"/>
        <w:rPr>
          <w:rFonts w:cs="Arial"/>
        </w:rPr>
      </w:pPr>
      <w:r w:rsidRPr="00C12FDB">
        <w:rPr>
          <w:rFonts w:cs="Arial"/>
        </w:rPr>
        <w:t>Les taux autodéclarés doivent respecter toutes les conditions définies à l</w:t>
      </w:r>
      <w:r w:rsidR="00C12FDB">
        <w:rPr>
          <w:rFonts w:cs="Arial"/>
        </w:rPr>
        <w:t>’</w:t>
      </w:r>
      <w:r w:rsidRPr="00C12FDB">
        <w:rPr>
          <w:rFonts w:cs="Arial"/>
        </w:rPr>
        <w:t xml:space="preserve">article 33 de la Convention. </w:t>
      </w:r>
    </w:p>
    <w:p w14:paraId="5017725C" w14:textId="77777777" w:rsidR="004E7F60" w:rsidRPr="00C12FDB" w:rsidRDefault="004E7F60" w:rsidP="004E7F60">
      <w:pPr>
        <w:pStyle w:val="1Premierretrait"/>
        <w:numPr>
          <w:ilvl w:val="0"/>
          <w:numId w:val="13"/>
        </w:numPr>
        <w:rPr>
          <w:rFonts w:cs="Arial"/>
        </w:rPr>
      </w:pPr>
      <w:r w:rsidRPr="00C12FDB">
        <w:rPr>
          <w:rFonts w:cs="Arial"/>
        </w:rPr>
        <w:t xml:space="preserve">Il convient de préciser le taux de TVA et des autres taxes pour les tarifs applicables à un envoi unique pour les services intérieurs susmentionnés. </w:t>
      </w:r>
    </w:p>
    <w:p w14:paraId="2E8B1E32" w14:textId="2B143DFC" w:rsidR="004E7F60" w:rsidRPr="00C12FDB" w:rsidRDefault="004E7F60" w:rsidP="004E7F60">
      <w:pPr>
        <w:pStyle w:val="1Premierretrait"/>
        <w:numPr>
          <w:ilvl w:val="0"/>
          <w:numId w:val="13"/>
        </w:numPr>
        <w:rPr>
          <w:rFonts w:cs="Arial"/>
        </w:rPr>
      </w:pPr>
      <w:r w:rsidRPr="00C12FDB">
        <w:rPr>
          <w:rFonts w:cs="Arial"/>
        </w:rPr>
        <w:t>Il est important d</w:t>
      </w:r>
      <w:r w:rsidR="00C12FDB">
        <w:rPr>
          <w:rFonts w:cs="Arial"/>
        </w:rPr>
        <w:t>’</w:t>
      </w:r>
      <w:r w:rsidRPr="00C12FDB">
        <w:rPr>
          <w:rFonts w:cs="Arial"/>
        </w:rPr>
        <w:t>indiquer clairement si le service de base pour lequel les informations des tarifs inté</w:t>
      </w:r>
      <w:r w:rsidR="00C12FDB">
        <w:rPr>
          <w:rFonts w:cs="Arial"/>
        </w:rPr>
        <w:softHyphen/>
      </w:r>
      <w:r w:rsidRPr="00C12FDB">
        <w:rPr>
          <w:rFonts w:cs="Arial"/>
        </w:rPr>
        <w:t>rieurs sont fournies comprend la preuve de distribution dans les cas où le service du régime intérieur sans cet élément de service n</w:t>
      </w:r>
      <w:r w:rsidR="00C12FDB">
        <w:rPr>
          <w:rFonts w:cs="Arial"/>
        </w:rPr>
        <w:t>’</w:t>
      </w:r>
      <w:r w:rsidRPr="00C12FDB">
        <w:rPr>
          <w:rFonts w:cs="Arial"/>
        </w:rPr>
        <w:t>est pas proposé. Ces informations doivent être fournies pour chacun des sept échelons de poids séparément.</w:t>
      </w:r>
    </w:p>
    <w:p w14:paraId="2A1237C9" w14:textId="316D7342" w:rsidR="004E7F60" w:rsidRPr="00C12FDB" w:rsidRDefault="004E7F60" w:rsidP="004E7F60">
      <w:pPr>
        <w:pStyle w:val="1Premierretrait"/>
        <w:numPr>
          <w:ilvl w:val="0"/>
          <w:numId w:val="13"/>
        </w:numPr>
        <w:rPr>
          <w:rFonts w:cs="Arial"/>
        </w:rPr>
      </w:pPr>
      <w:r w:rsidRPr="00C12FDB">
        <w:rPr>
          <w:rFonts w:cs="Arial"/>
        </w:rPr>
        <w:t>Il convient de préciser la source permettant de vérifier toutes les informations fournies. Celle-ci peut prendre la forme d</w:t>
      </w:r>
      <w:r w:rsidR="00C12FDB">
        <w:rPr>
          <w:rFonts w:cs="Arial"/>
        </w:rPr>
        <w:t>’</w:t>
      </w:r>
      <w:r w:rsidRPr="00C12FDB">
        <w:rPr>
          <w:rFonts w:cs="Arial"/>
        </w:rPr>
        <w:t>un site Web en libre accès sur lequel les informations tarifaires et les spécifications de service sont clairement publiées, d</w:t>
      </w:r>
      <w:r w:rsidR="00C12FDB">
        <w:rPr>
          <w:rFonts w:cs="Arial"/>
        </w:rPr>
        <w:t>’</w:t>
      </w:r>
      <w:r w:rsidRPr="00C12FDB">
        <w:rPr>
          <w:rFonts w:cs="Arial"/>
        </w:rPr>
        <w:t>informations publiées dans une brochure relative aux produits, de lois ou de règles applicables au domaine postal, ou d</w:t>
      </w:r>
      <w:r w:rsidR="00C12FDB">
        <w:rPr>
          <w:rFonts w:cs="Arial"/>
        </w:rPr>
        <w:t>’</w:t>
      </w:r>
      <w:r w:rsidRPr="00C12FDB">
        <w:rPr>
          <w:rFonts w:cs="Arial"/>
        </w:rPr>
        <w:t>une confirmation écrite de l</w:t>
      </w:r>
      <w:r w:rsidR="00C12FDB">
        <w:rPr>
          <w:rFonts w:cs="Arial"/>
        </w:rPr>
        <w:t>’</w:t>
      </w:r>
      <w:r w:rsidRPr="00C12FDB">
        <w:rPr>
          <w:rFonts w:cs="Arial"/>
        </w:rPr>
        <w:t>autorité de régula</w:t>
      </w:r>
      <w:r w:rsidR="00C12FDB">
        <w:rPr>
          <w:rFonts w:cs="Arial"/>
        </w:rPr>
        <w:softHyphen/>
      </w:r>
      <w:r w:rsidRPr="00C12FDB">
        <w:rPr>
          <w:rFonts w:cs="Arial"/>
        </w:rPr>
        <w:t>tion. Le Bureau international vérifiera les informations en s</w:t>
      </w:r>
      <w:r w:rsidR="00C12FDB">
        <w:rPr>
          <w:rFonts w:cs="Arial"/>
        </w:rPr>
        <w:t>’</w:t>
      </w:r>
      <w:r w:rsidRPr="00C12FDB">
        <w:rPr>
          <w:rFonts w:cs="Arial"/>
        </w:rPr>
        <w:t>appuyant sur les sources fournies.</w:t>
      </w:r>
    </w:p>
    <w:p w14:paraId="17F2E8C6" w14:textId="77777777" w:rsidR="004E7F60" w:rsidRPr="00C12FDB" w:rsidRDefault="004E7F60" w:rsidP="004E7F60">
      <w:pPr>
        <w:pStyle w:val="0Textedebase"/>
        <w:rPr>
          <w:rFonts w:cs="Arial"/>
        </w:rPr>
      </w:pPr>
    </w:p>
    <w:p w14:paraId="5CD8A3BC" w14:textId="77777777" w:rsidR="004E7F60" w:rsidRPr="00922D3C" w:rsidRDefault="004E7F60" w:rsidP="004E7F60">
      <w:pPr>
        <w:spacing w:line="240" w:lineRule="auto"/>
        <w:rPr>
          <w:rFonts w:cs="Arial"/>
        </w:rPr>
      </w:pPr>
      <w:r w:rsidRPr="00C12FDB">
        <w:rPr>
          <w:rFonts w:cs="Arial"/>
        </w:rPr>
        <w:br w:type="page"/>
      </w:r>
    </w:p>
    <w:p w14:paraId="7E0E38C9" w14:textId="77777777" w:rsidR="004E7F60" w:rsidRPr="00C12FDB" w:rsidRDefault="004E7F60" w:rsidP="004E7F60">
      <w:pPr>
        <w:pStyle w:val="0Textedebase"/>
        <w:rPr>
          <w:rFonts w:cs="Arial"/>
          <w:b/>
          <w:bCs/>
        </w:rPr>
      </w:pPr>
      <w:r w:rsidRPr="00C12FDB">
        <w:rPr>
          <w:rFonts w:cs="Arial"/>
          <w:b/>
        </w:rPr>
        <w:lastRenderedPageBreak/>
        <w:t>Notification</w:t>
      </w:r>
    </w:p>
    <w:p w14:paraId="02A580E4" w14:textId="77777777" w:rsidR="004E7F60" w:rsidRPr="00C12FDB" w:rsidRDefault="004E7F60" w:rsidP="004E7F60">
      <w:pPr>
        <w:pStyle w:val="0Textedebase"/>
        <w:rPr>
          <w:rFonts w:cs="Arial"/>
        </w:rPr>
      </w:pPr>
    </w:p>
    <w:p w14:paraId="224E66B3" w14:textId="5EAA0734" w:rsidR="004E7F60" w:rsidRPr="00C12FDB" w:rsidRDefault="004E7F60" w:rsidP="004E7F60">
      <w:pPr>
        <w:pStyle w:val="0Textedebase"/>
        <w:rPr>
          <w:rFonts w:cs="Arial"/>
        </w:rPr>
      </w:pPr>
      <w:r w:rsidRPr="00C12FDB">
        <w:rPr>
          <w:rFonts w:cs="Arial"/>
        </w:rPr>
        <w:t>Les taux autodéclarés (tableaux 1 et 2) doivent être communiqués en devise locale ou en DTS; les informa</w:t>
      </w:r>
      <w:r w:rsidR="00C12FDB">
        <w:rPr>
          <w:rFonts w:cs="Arial"/>
        </w:rPr>
        <w:softHyphen/>
      </w:r>
      <w:r w:rsidRPr="00C12FDB">
        <w:rPr>
          <w:rFonts w:cs="Arial"/>
        </w:rPr>
        <w:t>tions sur le tarif intérieur (tableaux 3 à 10) doivent être communiquées en devise locale.</w:t>
      </w:r>
    </w:p>
    <w:p w14:paraId="34C69987" w14:textId="77777777" w:rsidR="004E7F60" w:rsidRPr="00C12FDB" w:rsidRDefault="004E7F60" w:rsidP="004E7F60">
      <w:pPr>
        <w:pStyle w:val="0Textedebase"/>
        <w:rPr>
          <w:rFonts w:cs="Arial"/>
        </w:rPr>
      </w:pPr>
    </w:p>
    <w:p w14:paraId="41FC98E0" w14:textId="77777777" w:rsidR="004E7F60" w:rsidRPr="00C12FDB" w:rsidRDefault="004E7F60" w:rsidP="004E7F60">
      <w:pPr>
        <w:pStyle w:val="0Textedebase"/>
        <w:tabs>
          <w:tab w:val="right" w:pos="9631"/>
        </w:tabs>
        <w:rPr>
          <w:rFonts w:cs="Arial"/>
        </w:rPr>
      </w:pPr>
      <w:r w:rsidRPr="00C12FDB">
        <w:rPr>
          <w:rFonts w:cs="Arial"/>
        </w:rPr>
        <w:t>Devise locale utilisée aux fins de cette notification:</w:t>
      </w:r>
      <w:r w:rsidRPr="00C12FDB">
        <w:rPr>
          <w:rFonts w:cs="Arial"/>
          <w:u w:val="single"/>
        </w:rPr>
        <w:tab/>
      </w:r>
    </w:p>
    <w:p w14:paraId="12819222" w14:textId="77777777" w:rsidR="004E7F60" w:rsidRPr="00C12FDB" w:rsidRDefault="004E7F60" w:rsidP="004E7F60">
      <w:pPr>
        <w:pStyle w:val="0Textedebase"/>
        <w:rPr>
          <w:rFonts w:cs="Arial"/>
        </w:rPr>
      </w:pPr>
    </w:p>
    <w:p w14:paraId="0FCFE424" w14:textId="77777777" w:rsidR="004E7F60" w:rsidRPr="00C12FDB" w:rsidRDefault="004E7F60" w:rsidP="004E7F60">
      <w:pPr>
        <w:pStyle w:val="0Textedebase"/>
        <w:rPr>
          <w:rFonts w:cs="Arial"/>
          <w:i/>
          <w:iCs/>
        </w:rPr>
      </w:pPr>
      <w:r w:rsidRPr="00C12FDB">
        <w:rPr>
          <w:rFonts w:cs="Arial"/>
          <w:i/>
        </w:rPr>
        <w:t>Tableau 1 – Taux autodéclarés pour les colis, hors taxes, exprimés dans la devise locale ou en DTS pour les flux arrivants</w:t>
      </w:r>
    </w:p>
    <w:p w14:paraId="356FFEFD" w14:textId="77777777" w:rsidR="004E7F60" w:rsidRPr="00C12FDB" w:rsidRDefault="004E7F60" w:rsidP="004E7F60">
      <w:pPr>
        <w:pStyle w:val="0Textedebase"/>
        <w:rPr>
          <w:rFonts w:cs="Arial"/>
          <w:i/>
          <w:iCs/>
        </w:rPr>
      </w:pPr>
    </w:p>
    <w:tbl>
      <w:tblPr>
        <w:tblStyle w:val="Grilledutableau"/>
        <w:tblW w:w="4937" w:type="pct"/>
        <w:tblInd w:w="-5" w:type="dxa"/>
        <w:tblLook w:val="04A0" w:firstRow="1" w:lastRow="0" w:firstColumn="1" w:lastColumn="0" w:noHBand="0" w:noVBand="1"/>
      </w:tblPr>
      <w:tblGrid>
        <w:gridCol w:w="4753"/>
        <w:gridCol w:w="4754"/>
      </w:tblGrid>
      <w:tr w:rsidR="004E7F60" w:rsidRPr="00C12FDB" w14:paraId="1E8ADC42" w14:textId="77777777" w:rsidTr="0005520D">
        <w:trPr>
          <w:trHeight w:val="385"/>
        </w:trPr>
        <w:tc>
          <w:tcPr>
            <w:tcW w:w="2500" w:type="pct"/>
            <w:tcBorders>
              <w:bottom w:val="single" w:sz="4" w:space="0" w:color="auto"/>
            </w:tcBorders>
          </w:tcPr>
          <w:p w14:paraId="2495F572" w14:textId="77777777" w:rsidR="004E7F60" w:rsidRPr="00C12FDB" w:rsidRDefault="004E7F60" w:rsidP="0005520D">
            <w:pPr>
              <w:spacing w:before="60" w:after="60"/>
              <w:rPr>
                <w:rFonts w:cs="Arial"/>
              </w:rPr>
            </w:pPr>
            <w:r w:rsidRPr="00C12FDB">
              <w:rPr>
                <w:rFonts w:cs="Arial"/>
              </w:rPr>
              <w:t xml:space="preserve">Taux autodéclaré par envoi </w:t>
            </w:r>
          </w:p>
        </w:tc>
        <w:tc>
          <w:tcPr>
            <w:tcW w:w="2500" w:type="pct"/>
            <w:tcBorders>
              <w:bottom w:val="single" w:sz="4" w:space="0" w:color="auto"/>
            </w:tcBorders>
          </w:tcPr>
          <w:p w14:paraId="27F5DF79" w14:textId="77777777" w:rsidR="004E7F60" w:rsidRPr="00C12FDB" w:rsidRDefault="004E7F60" w:rsidP="0005520D">
            <w:pPr>
              <w:spacing w:before="60" w:after="60"/>
              <w:rPr>
                <w:rFonts w:cs="Arial"/>
              </w:rPr>
            </w:pPr>
          </w:p>
        </w:tc>
      </w:tr>
      <w:tr w:rsidR="004E7F60" w:rsidRPr="00C12FDB" w14:paraId="27AB281C" w14:textId="77777777" w:rsidTr="0005520D">
        <w:trPr>
          <w:trHeight w:val="385"/>
        </w:trPr>
        <w:tc>
          <w:tcPr>
            <w:tcW w:w="2500" w:type="pct"/>
          </w:tcPr>
          <w:p w14:paraId="50308566" w14:textId="77777777" w:rsidR="004E7F60" w:rsidRPr="00C12FDB" w:rsidRDefault="004E7F60" w:rsidP="0005520D">
            <w:pPr>
              <w:spacing w:before="60" w:after="60"/>
              <w:rPr>
                <w:rFonts w:cs="Arial"/>
              </w:rPr>
            </w:pPr>
            <w:r w:rsidRPr="00C12FDB">
              <w:rPr>
                <w:rFonts w:cs="Arial"/>
              </w:rPr>
              <w:t xml:space="preserve">Taux autodéclaré par kilogramme </w:t>
            </w:r>
          </w:p>
        </w:tc>
        <w:tc>
          <w:tcPr>
            <w:tcW w:w="2500" w:type="pct"/>
          </w:tcPr>
          <w:p w14:paraId="707A8773" w14:textId="77777777" w:rsidR="004E7F60" w:rsidRPr="00C12FDB" w:rsidRDefault="004E7F60" w:rsidP="0005520D">
            <w:pPr>
              <w:spacing w:before="60" w:after="60"/>
              <w:rPr>
                <w:rFonts w:cs="Arial"/>
              </w:rPr>
            </w:pPr>
          </w:p>
        </w:tc>
      </w:tr>
      <w:tr w:rsidR="004E7F60" w:rsidRPr="00C12FDB" w14:paraId="50500D01" w14:textId="77777777" w:rsidTr="0005520D">
        <w:trPr>
          <w:trHeight w:val="385"/>
        </w:trPr>
        <w:tc>
          <w:tcPr>
            <w:tcW w:w="2500" w:type="pct"/>
            <w:tcBorders>
              <w:bottom w:val="single" w:sz="4" w:space="0" w:color="auto"/>
            </w:tcBorders>
          </w:tcPr>
          <w:p w14:paraId="6C2E9236" w14:textId="77777777" w:rsidR="004E7F60" w:rsidRPr="00C12FDB" w:rsidRDefault="004E7F60" w:rsidP="0005520D">
            <w:pPr>
              <w:spacing w:before="60" w:after="60"/>
              <w:rPr>
                <w:rFonts w:cs="Arial"/>
              </w:rPr>
            </w:pPr>
            <w:r w:rsidRPr="00C12FDB">
              <w:rPr>
                <w:rFonts w:cs="Arial"/>
                <w:i/>
              </w:rPr>
              <w:t>Devise (devise locale ou DTS)</w:t>
            </w:r>
          </w:p>
        </w:tc>
        <w:tc>
          <w:tcPr>
            <w:tcW w:w="2500" w:type="pct"/>
            <w:tcBorders>
              <w:bottom w:val="single" w:sz="4" w:space="0" w:color="auto"/>
            </w:tcBorders>
          </w:tcPr>
          <w:p w14:paraId="51AC0BDD" w14:textId="77777777" w:rsidR="004E7F60" w:rsidRPr="00C12FDB" w:rsidRDefault="004E7F60" w:rsidP="0005520D">
            <w:pPr>
              <w:spacing w:before="60" w:after="60"/>
              <w:rPr>
                <w:rFonts w:cs="Arial"/>
              </w:rPr>
            </w:pPr>
          </w:p>
        </w:tc>
      </w:tr>
    </w:tbl>
    <w:p w14:paraId="2A0FB289" w14:textId="77777777" w:rsidR="004E7F60" w:rsidRPr="00C12FDB" w:rsidRDefault="004E7F60" w:rsidP="004E7F60">
      <w:pPr>
        <w:pStyle w:val="0Textedebase"/>
        <w:rPr>
          <w:rFonts w:cs="Arial"/>
        </w:rPr>
      </w:pPr>
    </w:p>
    <w:p w14:paraId="3740FD13" w14:textId="702C4C02" w:rsidR="004E7F60" w:rsidRPr="00C12FDB" w:rsidRDefault="004E7F60" w:rsidP="004E7F60">
      <w:pPr>
        <w:pStyle w:val="0Textedebase"/>
        <w:rPr>
          <w:rFonts w:cs="Arial"/>
          <w:bCs/>
        </w:rPr>
      </w:pPr>
      <w:r w:rsidRPr="00C12FDB">
        <w:rPr>
          <w:rFonts w:cs="Arial"/>
          <w:bCs/>
        </w:rPr>
        <w:t>Applicable uniquement aux opérateurs désignés des pays classés dans le groupe C: s</w:t>
      </w:r>
      <w:r w:rsidRPr="00C12FDB">
        <w:rPr>
          <w:rFonts w:cs="Arial"/>
        </w:rPr>
        <w:t>ouhaitez-vous rempla</w:t>
      </w:r>
      <w:r w:rsidR="00C12FDB">
        <w:rPr>
          <w:rFonts w:cs="Arial"/>
        </w:rPr>
        <w:softHyphen/>
      </w:r>
      <w:r w:rsidRPr="00C12FDB">
        <w:rPr>
          <w:rFonts w:cs="Arial"/>
        </w:rPr>
        <w:t>cer le revenu maximal par les taux de base par colis et par kilogramme de 2026 (quotes-parts territoriales d</w:t>
      </w:r>
      <w:r w:rsidR="00C12FDB">
        <w:rPr>
          <w:rFonts w:cs="Arial"/>
        </w:rPr>
        <w:t>’</w:t>
      </w:r>
      <w:r w:rsidRPr="00C12FDB">
        <w:rPr>
          <w:rFonts w:cs="Arial"/>
        </w:rPr>
        <w:t>arrivée) majorés de 40%, puis réduits de 1,200 DTS par colis?</w:t>
      </w:r>
      <w:r w:rsidRPr="00C12FDB">
        <w:rPr>
          <w:rFonts w:cs="Arial"/>
          <w:b/>
        </w:rPr>
        <w:t xml:space="preserve"> </w:t>
      </w:r>
      <w:r w:rsidRPr="00C12FDB">
        <w:rPr>
          <w:rFonts w:cs="Arial"/>
          <w:bCs/>
        </w:rPr>
        <w:t>Si oui, la présente notification doit être accompagnée par une décision prise par l</w:t>
      </w:r>
      <w:r w:rsidR="00C12FDB">
        <w:rPr>
          <w:rFonts w:cs="Arial"/>
          <w:bCs/>
        </w:rPr>
        <w:t>’</w:t>
      </w:r>
      <w:r w:rsidRPr="00C12FDB">
        <w:rPr>
          <w:rFonts w:cs="Arial"/>
          <w:bCs/>
        </w:rPr>
        <w:t>autorité compétente confirmant que les tarifs intérieurs applicables aux colis ne sont pas fixés en fonction des coûts.</w:t>
      </w:r>
    </w:p>
    <w:p w14:paraId="61809791" w14:textId="01F939B1" w:rsidR="004E7F60" w:rsidRPr="00C12FDB" w:rsidRDefault="004E7F60" w:rsidP="00AD7FFE">
      <w:pPr>
        <w:spacing w:before="120"/>
        <w:ind w:left="397" w:hanging="397"/>
        <w:rPr>
          <w:rFonts w:cs="Arial"/>
        </w:rPr>
      </w:pPr>
      <w:r w:rsidRPr="00C12FDB">
        <w:rPr>
          <w:rFonts w:cs="Arial"/>
          <w:sz w:val="24"/>
        </w:rPr>
        <w:sym w:font="Wingdings" w:char="F072"/>
      </w:r>
      <w:r w:rsidR="00AD7FFE">
        <w:rPr>
          <w:rFonts w:cs="Arial"/>
          <w:sz w:val="24"/>
        </w:rPr>
        <w:tab/>
      </w:r>
      <w:r w:rsidRPr="00C12FDB">
        <w:rPr>
          <w:rFonts w:cs="Arial"/>
        </w:rPr>
        <w:t>Oui (il reste nécessaire de remplir les autres tableaux de ce questionnaire)</w:t>
      </w:r>
    </w:p>
    <w:p w14:paraId="1D438E50" w14:textId="62545B2C" w:rsidR="004E7F60" w:rsidRPr="00C12FDB" w:rsidRDefault="004E7F60" w:rsidP="00AD7FFE">
      <w:pPr>
        <w:spacing w:before="120"/>
        <w:ind w:left="397" w:hanging="397"/>
        <w:rPr>
          <w:rFonts w:cs="Arial"/>
        </w:rPr>
      </w:pPr>
      <w:r w:rsidRPr="00C12FDB">
        <w:rPr>
          <w:rFonts w:cs="Arial"/>
          <w:sz w:val="24"/>
        </w:rPr>
        <w:sym w:font="Wingdings" w:char="F072"/>
      </w:r>
      <w:r w:rsidR="00AD7FFE">
        <w:rPr>
          <w:rFonts w:cs="Arial"/>
          <w:sz w:val="24"/>
        </w:rPr>
        <w:tab/>
      </w:r>
      <w:r w:rsidRPr="00C12FDB">
        <w:rPr>
          <w:rFonts w:cs="Arial"/>
        </w:rPr>
        <w:t>Non</w:t>
      </w:r>
    </w:p>
    <w:p w14:paraId="43B75779" w14:textId="77777777" w:rsidR="004E7F60" w:rsidRPr="00C12FDB" w:rsidRDefault="004E7F60" w:rsidP="004E7F60">
      <w:pPr>
        <w:pStyle w:val="0Textedebase"/>
        <w:rPr>
          <w:rFonts w:cs="Arial"/>
        </w:rPr>
      </w:pPr>
    </w:p>
    <w:p w14:paraId="6BA39093" w14:textId="77777777" w:rsidR="004E7F60" w:rsidRPr="00C12FDB" w:rsidRDefault="004E7F60" w:rsidP="004E7F60">
      <w:pPr>
        <w:pStyle w:val="0Textedebase"/>
        <w:rPr>
          <w:rFonts w:cs="Arial"/>
          <w:i/>
          <w:iCs/>
        </w:rPr>
      </w:pPr>
      <w:r w:rsidRPr="00C12FDB">
        <w:rPr>
          <w:rFonts w:cs="Arial"/>
          <w:i/>
        </w:rPr>
        <w:t xml:space="preserve">Tableau 2 – Taux supplémentaires autodéclarés pour la distribution des colis </w:t>
      </w:r>
      <w:r w:rsidRPr="00C12FDB">
        <w:rPr>
          <w:rFonts w:cs="Arial"/>
          <w:bCs/>
          <w:i/>
        </w:rPr>
        <w:t xml:space="preserve">dans les zones non contiguës, </w:t>
      </w:r>
      <w:r w:rsidRPr="00C12FDB">
        <w:rPr>
          <w:rFonts w:cs="Arial"/>
          <w:i/>
        </w:rPr>
        <w:t>hors taxes, exprimés dans la devise locale ou en DTS pour les flux arrivants</w:t>
      </w:r>
      <w:r w:rsidRPr="00C12FDB">
        <w:rPr>
          <w:rStyle w:val="Appelnotedebasdep"/>
          <w:rFonts w:cs="Arial"/>
          <w:i/>
          <w:iCs/>
        </w:rPr>
        <w:footnoteReference w:id="2"/>
      </w:r>
    </w:p>
    <w:p w14:paraId="7CEE4C83" w14:textId="77777777" w:rsidR="004E7F60" w:rsidRPr="00C12FDB" w:rsidRDefault="004E7F60" w:rsidP="004E7F60">
      <w:pPr>
        <w:pStyle w:val="0Textedebase"/>
        <w:rPr>
          <w:rFonts w:cs="Arial"/>
          <w:i/>
          <w:iCs/>
        </w:rPr>
      </w:pPr>
    </w:p>
    <w:tbl>
      <w:tblPr>
        <w:tblStyle w:val="Grilledutableau"/>
        <w:tblW w:w="5000" w:type="pct"/>
        <w:tblLook w:val="04A0" w:firstRow="1" w:lastRow="0" w:firstColumn="1" w:lastColumn="0" w:noHBand="0" w:noVBand="1"/>
      </w:tblPr>
      <w:tblGrid>
        <w:gridCol w:w="992"/>
        <w:gridCol w:w="1701"/>
        <w:gridCol w:w="2270"/>
        <w:gridCol w:w="1982"/>
        <w:gridCol w:w="2688"/>
      </w:tblGrid>
      <w:tr w:rsidR="004E7F60" w:rsidRPr="00C12FDB" w14:paraId="34D969AB" w14:textId="77777777" w:rsidTr="00F33FBC">
        <w:trPr>
          <w:trHeight w:val="423"/>
        </w:trPr>
        <w:tc>
          <w:tcPr>
            <w:tcW w:w="515" w:type="pct"/>
            <w:tcBorders>
              <w:top w:val="nil"/>
              <w:left w:val="nil"/>
              <w:bottom w:val="single" w:sz="4" w:space="0" w:color="auto"/>
            </w:tcBorders>
          </w:tcPr>
          <w:p w14:paraId="5CFA3A32" w14:textId="77777777" w:rsidR="004E7F60" w:rsidRPr="00C12FDB" w:rsidRDefault="004E7F60" w:rsidP="0005520D">
            <w:pPr>
              <w:spacing w:before="60" w:after="60"/>
              <w:rPr>
                <w:rFonts w:cs="Arial"/>
              </w:rPr>
            </w:pPr>
          </w:p>
        </w:tc>
        <w:tc>
          <w:tcPr>
            <w:tcW w:w="883" w:type="pct"/>
            <w:tcBorders>
              <w:top w:val="single" w:sz="4" w:space="0" w:color="auto"/>
              <w:left w:val="nil"/>
              <w:bottom w:val="single" w:sz="4" w:space="0" w:color="auto"/>
              <w:right w:val="single" w:sz="4" w:space="0" w:color="auto"/>
            </w:tcBorders>
          </w:tcPr>
          <w:p w14:paraId="06976CB4" w14:textId="77777777" w:rsidR="004E7F60" w:rsidRPr="00C12FDB" w:rsidRDefault="004E7F60" w:rsidP="0005520D">
            <w:pPr>
              <w:spacing w:before="60" w:after="60"/>
              <w:rPr>
                <w:rFonts w:cs="Arial"/>
                <w:i/>
                <w:iCs/>
              </w:rPr>
            </w:pPr>
            <w:r w:rsidRPr="00C12FDB">
              <w:rPr>
                <w:rFonts w:cs="Arial"/>
                <w:i/>
                <w:iCs/>
              </w:rPr>
              <w:t>Nom de la zone</w:t>
            </w:r>
          </w:p>
        </w:tc>
        <w:tc>
          <w:tcPr>
            <w:tcW w:w="1178" w:type="pct"/>
            <w:tcBorders>
              <w:top w:val="single" w:sz="4" w:space="0" w:color="auto"/>
              <w:left w:val="single" w:sz="4" w:space="0" w:color="auto"/>
              <w:bottom w:val="single" w:sz="4" w:space="0" w:color="auto"/>
            </w:tcBorders>
          </w:tcPr>
          <w:p w14:paraId="7A31F560" w14:textId="77777777" w:rsidR="004E7F60" w:rsidRPr="00C12FDB" w:rsidRDefault="004E7F60" w:rsidP="0005520D">
            <w:pPr>
              <w:spacing w:before="60" w:after="60"/>
              <w:rPr>
                <w:rFonts w:cs="Arial"/>
                <w:i/>
                <w:iCs/>
              </w:rPr>
            </w:pPr>
            <w:r w:rsidRPr="00C12FDB">
              <w:rPr>
                <w:rFonts w:cs="Arial"/>
                <w:i/>
                <w:iCs/>
              </w:rPr>
              <w:t>Taux supplémentaire autodéclaré par envoi</w:t>
            </w:r>
          </w:p>
        </w:tc>
        <w:tc>
          <w:tcPr>
            <w:tcW w:w="1029" w:type="pct"/>
            <w:tcBorders>
              <w:bottom w:val="single" w:sz="4" w:space="0" w:color="auto"/>
            </w:tcBorders>
          </w:tcPr>
          <w:p w14:paraId="699F68B8" w14:textId="77777777" w:rsidR="004E7F60" w:rsidRPr="00C12FDB" w:rsidRDefault="004E7F60" w:rsidP="0005520D">
            <w:pPr>
              <w:spacing w:before="60" w:after="60"/>
              <w:rPr>
                <w:rFonts w:cs="Arial"/>
              </w:rPr>
            </w:pPr>
            <w:r w:rsidRPr="00C12FDB">
              <w:rPr>
                <w:rFonts w:cs="Arial"/>
                <w:i/>
              </w:rPr>
              <w:t>Devise (devise locale ou DTS)</w:t>
            </w:r>
          </w:p>
        </w:tc>
        <w:tc>
          <w:tcPr>
            <w:tcW w:w="1395" w:type="pct"/>
            <w:tcBorders>
              <w:bottom w:val="single" w:sz="4" w:space="0" w:color="auto"/>
            </w:tcBorders>
          </w:tcPr>
          <w:p w14:paraId="23815CFF" w14:textId="4CA09F03" w:rsidR="004E7F60" w:rsidRPr="00C12FDB" w:rsidRDefault="004E7F60" w:rsidP="0005520D">
            <w:pPr>
              <w:spacing w:before="60" w:after="60"/>
              <w:rPr>
                <w:rFonts w:cs="Arial"/>
                <w:i/>
                <w:iCs/>
              </w:rPr>
            </w:pPr>
            <w:r w:rsidRPr="00C12FDB">
              <w:rPr>
                <w:rFonts w:cs="Arial"/>
                <w:i/>
              </w:rPr>
              <w:t xml:space="preserve">Plage de codes postaux définissant la zone </w:t>
            </w:r>
            <w:r w:rsidR="00F33FBC">
              <w:rPr>
                <w:rFonts w:cs="Arial"/>
                <w:i/>
              </w:rPr>
              <w:br/>
            </w:r>
            <w:r w:rsidRPr="00C12FDB">
              <w:rPr>
                <w:rFonts w:cs="Arial"/>
                <w:i/>
              </w:rPr>
              <w:t>de distribution</w:t>
            </w:r>
          </w:p>
        </w:tc>
      </w:tr>
      <w:tr w:rsidR="004E7F60" w:rsidRPr="00C12FDB" w14:paraId="403CE964" w14:textId="77777777" w:rsidTr="00F33FBC">
        <w:trPr>
          <w:trHeight w:val="423"/>
        </w:trPr>
        <w:tc>
          <w:tcPr>
            <w:tcW w:w="515" w:type="pct"/>
            <w:tcBorders>
              <w:bottom w:val="single" w:sz="4" w:space="0" w:color="auto"/>
            </w:tcBorders>
          </w:tcPr>
          <w:p w14:paraId="13B7A675" w14:textId="77777777" w:rsidR="004E7F60" w:rsidRPr="00C12FDB" w:rsidRDefault="004E7F60" w:rsidP="0005520D">
            <w:pPr>
              <w:spacing w:before="60" w:after="60"/>
              <w:rPr>
                <w:rFonts w:cs="Arial"/>
              </w:rPr>
            </w:pPr>
            <w:r w:rsidRPr="00C12FDB">
              <w:rPr>
                <w:rFonts w:cs="Arial"/>
              </w:rPr>
              <w:t>Zone 1</w:t>
            </w:r>
          </w:p>
        </w:tc>
        <w:tc>
          <w:tcPr>
            <w:tcW w:w="883" w:type="pct"/>
            <w:tcBorders>
              <w:bottom w:val="single" w:sz="4" w:space="0" w:color="auto"/>
            </w:tcBorders>
          </w:tcPr>
          <w:p w14:paraId="0779881C" w14:textId="77777777" w:rsidR="004E7F60" w:rsidRPr="00C12FDB" w:rsidRDefault="004E7F60" w:rsidP="0005520D">
            <w:pPr>
              <w:spacing w:before="60" w:after="60"/>
              <w:rPr>
                <w:rFonts w:cs="Arial"/>
              </w:rPr>
            </w:pPr>
          </w:p>
        </w:tc>
        <w:tc>
          <w:tcPr>
            <w:tcW w:w="1178" w:type="pct"/>
            <w:tcBorders>
              <w:bottom w:val="single" w:sz="4" w:space="0" w:color="auto"/>
            </w:tcBorders>
          </w:tcPr>
          <w:p w14:paraId="5C675716" w14:textId="77777777" w:rsidR="004E7F60" w:rsidRPr="00C12FDB" w:rsidRDefault="004E7F60" w:rsidP="0005520D">
            <w:pPr>
              <w:spacing w:before="60" w:after="60"/>
              <w:rPr>
                <w:rFonts w:cs="Arial"/>
              </w:rPr>
            </w:pPr>
          </w:p>
        </w:tc>
        <w:tc>
          <w:tcPr>
            <w:tcW w:w="1029" w:type="pct"/>
            <w:tcBorders>
              <w:bottom w:val="single" w:sz="4" w:space="0" w:color="auto"/>
            </w:tcBorders>
          </w:tcPr>
          <w:p w14:paraId="0384DAAF" w14:textId="77777777" w:rsidR="004E7F60" w:rsidRPr="00C12FDB" w:rsidRDefault="004E7F60" w:rsidP="0005520D">
            <w:pPr>
              <w:spacing w:before="60" w:after="60"/>
              <w:rPr>
                <w:rFonts w:cs="Arial"/>
              </w:rPr>
            </w:pPr>
          </w:p>
        </w:tc>
        <w:tc>
          <w:tcPr>
            <w:tcW w:w="1395" w:type="pct"/>
            <w:tcBorders>
              <w:bottom w:val="single" w:sz="4" w:space="0" w:color="auto"/>
            </w:tcBorders>
          </w:tcPr>
          <w:p w14:paraId="1AC63070" w14:textId="77777777" w:rsidR="004E7F60" w:rsidRPr="00C12FDB" w:rsidRDefault="004E7F60" w:rsidP="0005520D">
            <w:pPr>
              <w:spacing w:before="60" w:after="60"/>
              <w:rPr>
                <w:rFonts w:cs="Arial"/>
              </w:rPr>
            </w:pPr>
          </w:p>
        </w:tc>
      </w:tr>
      <w:tr w:rsidR="004E7F60" w:rsidRPr="00C12FDB" w14:paraId="517A72A2" w14:textId="77777777" w:rsidTr="00F33FBC">
        <w:trPr>
          <w:trHeight w:val="423"/>
        </w:trPr>
        <w:tc>
          <w:tcPr>
            <w:tcW w:w="515" w:type="pct"/>
          </w:tcPr>
          <w:p w14:paraId="7BD27DB6" w14:textId="77777777" w:rsidR="004E7F60" w:rsidRPr="00C12FDB" w:rsidRDefault="004E7F60" w:rsidP="0005520D">
            <w:pPr>
              <w:spacing w:before="60" w:after="60"/>
              <w:rPr>
                <w:rFonts w:cs="Arial"/>
              </w:rPr>
            </w:pPr>
            <w:r w:rsidRPr="00C12FDB">
              <w:rPr>
                <w:rFonts w:cs="Arial"/>
              </w:rPr>
              <w:t>Zone 2</w:t>
            </w:r>
          </w:p>
        </w:tc>
        <w:tc>
          <w:tcPr>
            <w:tcW w:w="883" w:type="pct"/>
          </w:tcPr>
          <w:p w14:paraId="552DADE5" w14:textId="77777777" w:rsidR="004E7F60" w:rsidRPr="00C12FDB" w:rsidRDefault="004E7F60" w:rsidP="0005520D">
            <w:pPr>
              <w:spacing w:before="60" w:after="60"/>
              <w:rPr>
                <w:rFonts w:cs="Arial"/>
              </w:rPr>
            </w:pPr>
          </w:p>
        </w:tc>
        <w:tc>
          <w:tcPr>
            <w:tcW w:w="1178" w:type="pct"/>
          </w:tcPr>
          <w:p w14:paraId="547510EB" w14:textId="77777777" w:rsidR="004E7F60" w:rsidRPr="00C12FDB" w:rsidRDefault="004E7F60" w:rsidP="0005520D">
            <w:pPr>
              <w:spacing w:before="60" w:after="60"/>
              <w:rPr>
                <w:rFonts w:cs="Arial"/>
              </w:rPr>
            </w:pPr>
          </w:p>
        </w:tc>
        <w:tc>
          <w:tcPr>
            <w:tcW w:w="1029" w:type="pct"/>
          </w:tcPr>
          <w:p w14:paraId="2A16E256" w14:textId="77777777" w:rsidR="004E7F60" w:rsidRPr="00C12FDB" w:rsidRDefault="004E7F60" w:rsidP="0005520D">
            <w:pPr>
              <w:spacing w:before="60" w:after="60"/>
              <w:rPr>
                <w:rFonts w:cs="Arial"/>
              </w:rPr>
            </w:pPr>
          </w:p>
        </w:tc>
        <w:tc>
          <w:tcPr>
            <w:tcW w:w="1395" w:type="pct"/>
          </w:tcPr>
          <w:p w14:paraId="4AF5C459" w14:textId="77777777" w:rsidR="004E7F60" w:rsidRPr="00C12FDB" w:rsidRDefault="004E7F60" w:rsidP="0005520D">
            <w:pPr>
              <w:spacing w:before="60" w:after="60"/>
              <w:rPr>
                <w:rFonts w:cs="Arial"/>
              </w:rPr>
            </w:pPr>
          </w:p>
        </w:tc>
      </w:tr>
      <w:tr w:rsidR="004E7F60" w:rsidRPr="00C12FDB" w14:paraId="77AB6E59" w14:textId="77777777" w:rsidTr="00F33FBC">
        <w:trPr>
          <w:trHeight w:val="423"/>
        </w:trPr>
        <w:tc>
          <w:tcPr>
            <w:tcW w:w="515" w:type="pct"/>
            <w:tcBorders>
              <w:bottom w:val="single" w:sz="4" w:space="0" w:color="auto"/>
            </w:tcBorders>
          </w:tcPr>
          <w:p w14:paraId="618C84B2" w14:textId="77777777" w:rsidR="004E7F60" w:rsidRPr="00C12FDB" w:rsidRDefault="004E7F60" w:rsidP="0005520D">
            <w:pPr>
              <w:spacing w:before="60" w:after="60"/>
              <w:rPr>
                <w:rFonts w:cs="Arial"/>
              </w:rPr>
            </w:pPr>
            <w:r w:rsidRPr="00C12FDB">
              <w:rPr>
                <w:rFonts w:cs="Arial"/>
              </w:rPr>
              <w:t>Zone 3</w:t>
            </w:r>
          </w:p>
        </w:tc>
        <w:tc>
          <w:tcPr>
            <w:tcW w:w="883" w:type="pct"/>
            <w:tcBorders>
              <w:bottom w:val="single" w:sz="4" w:space="0" w:color="auto"/>
            </w:tcBorders>
          </w:tcPr>
          <w:p w14:paraId="66CB8451" w14:textId="77777777" w:rsidR="004E7F60" w:rsidRPr="00C12FDB" w:rsidRDefault="004E7F60" w:rsidP="0005520D">
            <w:pPr>
              <w:spacing w:before="60" w:after="60"/>
              <w:rPr>
                <w:rFonts w:cs="Arial"/>
              </w:rPr>
            </w:pPr>
          </w:p>
        </w:tc>
        <w:tc>
          <w:tcPr>
            <w:tcW w:w="1178" w:type="pct"/>
            <w:tcBorders>
              <w:bottom w:val="single" w:sz="4" w:space="0" w:color="auto"/>
            </w:tcBorders>
          </w:tcPr>
          <w:p w14:paraId="28A00798" w14:textId="77777777" w:rsidR="004E7F60" w:rsidRPr="00C12FDB" w:rsidRDefault="004E7F60" w:rsidP="0005520D">
            <w:pPr>
              <w:spacing w:before="60" w:after="60"/>
              <w:rPr>
                <w:rFonts w:cs="Arial"/>
              </w:rPr>
            </w:pPr>
          </w:p>
        </w:tc>
        <w:tc>
          <w:tcPr>
            <w:tcW w:w="1029" w:type="pct"/>
            <w:tcBorders>
              <w:bottom w:val="single" w:sz="4" w:space="0" w:color="auto"/>
            </w:tcBorders>
          </w:tcPr>
          <w:p w14:paraId="1E5028D7" w14:textId="77777777" w:rsidR="004E7F60" w:rsidRPr="00C12FDB" w:rsidRDefault="004E7F60" w:rsidP="0005520D">
            <w:pPr>
              <w:spacing w:before="60" w:after="60"/>
              <w:rPr>
                <w:rFonts w:cs="Arial"/>
              </w:rPr>
            </w:pPr>
          </w:p>
        </w:tc>
        <w:tc>
          <w:tcPr>
            <w:tcW w:w="1395" w:type="pct"/>
            <w:tcBorders>
              <w:bottom w:val="single" w:sz="4" w:space="0" w:color="auto"/>
            </w:tcBorders>
          </w:tcPr>
          <w:p w14:paraId="043B72B0" w14:textId="77777777" w:rsidR="004E7F60" w:rsidRPr="00C12FDB" w:rsidRDefault="004E7F60" w:rsidP="0005520D">
            <w:pPr>
              <w:spacing w:before="60" w:after="60"/>
              <w:rPr>
                <w:rFonts w:cs="Arial"/>
              </w:rPr>
            </w:pPr>
          </w:p>
        </w:tc>
      </w:tr>
    </w:tbl>
    <w:p w14:paraId="06B5572E" w14:textId="77777777" w:rsidR="004E7F60" w:rsidRPr="00AD7FFE" w:rsidRDefault="004E7F60" w:rsidP="004E7F60">
      <w:pPr>
        <w:pStyle w:val="0Textedebase"/>
        <w:rPr>
          <w:rFonts w:cs="Arial"/>
          <w:i/>
          <w:iCs/>
        </w:rPr>
      </w:pPr>
    </w:p>
    <w:p w14:paraId="65F765C8" w14:textId="4D99CBEE" w:rsidR="004E7F60" w:rsidRPr="00C12FDB" w:rsidRDefault="004E7F60" w:rsidP="004E7F60">
      <w:pPr>
        <w:pStyle w:val="0Textedebase"/>
        <w:rPr>
          <w:rFonts w:cs="Arial"/>
        </w:rPr>
      </w:pPr>
      <w:r w:rsidRPr="00C12FDB">
        <w:rPr>
          <w:rFonts w:cs="Arial"/>
        </w:rPr>
        <w:t>Si la preuve de distribution est disponible dans votre offre du régime intérieur en tant que service supplémen</w:t>
      </w:r>
      <w:r w:rsidR="00C12FDB">
        <w:rPr>
          <w:rFonts w:cs="Arial"/>
        </w:rPr>
        <w:softHyphen/>
      </w:r>
      <w:r w:rsidRPr="00C12FDB">
        <w:rPr>
          <w:rFonts w:cs="Arial"/>
        </w:rPr>
        <w:t>taire, veuillez indiquer la surtaxe applicable en devise locale dans le tableau 2.</w:t>
      </w:r>
    </w:p>
    <w:p w14:paraId="5F08A8F5" w14:textId="77777777" w:rsidR="004E7F60" w:rsidRPr="00C12FDB" w:rsidRDefault="004E7F60" w:rsidP="004E7F60">
      <w:pPr>
        <w:pStyle w:val="0Textedebase"/>
        <w:rPr>
          <w:rFonts w:cs="Arial"/>
          <w:i/>
          <w:iCs/>
        </w:rPr>
      </w:pPr>
    </w:p>
    <w:p w14:paraId="6A46B025" w14:textId="77777777" w:rsidR="004E7F60" w:rsidRPr="00C12FDB" w:rsidRDefault="004E7F60" w:rsidP="004E7F60">
      <w:pPr>
        <w:pStyle w:val="0Textedebase"/>
        <w:rPr>
          <w:rFonts w:cs="Arial"/>
          <w:i/>
          <w:iCs/>
        </w:rPr>
      </w:pPr>
      <w:r w:rsidRPr="00C12FDB">
        <w:rPr>
          <w:rFonts w:cs="Arial"/>
          <w:i/>
        </w:rPr>
        <w:t>Tableau 3 – Surtaxe applicable à la preuve de distribution dans le régime intérieur</w:t>
      </w:r>
    </w:p>
    <w:p w14:paraId="34E05FEC" w14:textId="77777777" w:rsidR="004E7F60" w:rsidRPr="00C12FDB" w:rsidRDefault="004E7F60" w:rsidP="004E7F60">
      <w:pPr>
        <w:pStyle w:val="0Textedebase"/>
        <w:rPr>
          <w:rFonts w:cs="Arial"/>
          <w:i/>
          <w:iCs/>
        </w:rPr>
      </w:pPr>
    </w:p>
    <w:tbl>
      <w:tblPr>
        <w:tblStyle w:val="Grilledutableau"/>
        <w:tblW w:w="4937" w:type="pct"/>
        <w:tblInd w:w="-5" w:type="dxa"/>
        <w:tblLook w:val="04A0" w:firstRow="1" w:lastRow="0" w:firstColumn="1" w:lastColumn="0" w:noHBand="0" w:noVBand="1"/>
      </w:tblPr>
      <w:tblGrid>
        <w:gridCol w:w="4816"/>
        <w:gridCol w:w="4691"/>
      </w:tblGrid>
      <w:tr w:rsidR="004E7F60" w:rsidRPr="00C12FDB" w14:paraId="1FDBA2CD" w14:textId="77777777" w:rsidTr="00AD7FFE">
        <w:trPr>
          <w:trHeight w:val="385"/>
        </w:trPr>
        <w:tc>
          <w:tcPr>
            <w:tcW w:w="2533" w:type="pct"/>
            <w:tcBorders>
              <w:bottom w:val="single" w:sz="4" w:space="0" w:color="auto"/>
            </w:tcBorders>
          </w:tcPr>
          <w:p w14:paraId="1ECCAA77" w14:textId="77777777" w:rsidR="004E7F60" w:rsidRPr="00C12FDB" w:rsidRDefault="004E7F60" w:rsidP="0005520D">
            <w:pPr>
              <w:spacing w:before="60" w:after="60"/>
              <w:rPr>
                <w:rFonts w:cs="Arial"/>
              </w:rPr>
            </w:pPr>
            <w:r w:rsidRPr="00C12FDB">
              <w:rPr>
                <w:rFonts w:cs="Arial"/>
              </w:rPr>
              <w:t>Taux par envoi (en devise locale)</w:t>
            </w:r>
          </w:p>
        </w:tc>
        <w:tc>
          <w:tcPr>
            <w:tcW w:w="2467" w:type="pct"/>
            <w:tcBorders>
              <w:bottom w:val="single" w:sz="4" w:space="0" w:color="auto"/>
            </w:tcBorders>
          </w:tcPr>
          <w:p w14:paraId="2CB466E1" w14:textId="77777777" w:rsidR="004E7F60" w:rsidRPr="00C12FDB" w:rsidRDefault="004E7F60" w:rsidP="0005520D">
            <w:pPr>
              <w:spacing w:before="60" w:after="60"/>
              <w:rPr>
                <w:rFonts w:cs="Arial"/>
              </w:rPr>
            </w:pPr>
          </w:p>
        </w:tc>
      </w:tr>
    </w:tbl>
    <w:p w14:paraId="48015CE0" w14:textId="77777777" w:rsidR="004E7F60" w:rsidRPr="00C12FDB" w:rsidRDefault="004E7F60" w:rsidP="004E7F60">
      <w:pPr>
        <w:pStyle w:val="0Textedebase"/>
        <w:rPr>
          <w:rFonts w:cs="Arial"/>
        </w:rPr>
      </w:pPr>
    </w:p>
    <w:p w14:paraId="77A89A96" w14:textId="77777777" w:rsidR="009413EC" w:rsidRDefault="009413EC">
      <w:pPr>
        <w:spacing w:line="240" w:lineRule="auto"/>
        <w:rPr>
          <w:rFonts w:cs="Arial"/>
          <w:i/>
        </w:rPr>
      </w:pPr>
      <w:r>
        <w:rPr>
          <w:rFonts w:cs="Arial"/>
          <w:i/>
        </w:rPr>
        <w:br w:type="page"/>
      </w:r>
    </w:p>
    <w:p w14:paraId="7754E55F" w14:textId="518F0B12" w:rsidR="004E7F60" w:rsidRPr="00F33FBC" w:rsidRDefault="004E7F60" w:rsidP="00F33FBC">
      <w:pPr>
        <w:spacing w:line="240" w:lineRule="auto"/>
        <w:jc w:val="both"/>
        <w:rPr>
          <w:rFonts w:cs="Arial"/>
          <w:i/>
          <w:iCs/>
        </w:rPr>
      </w:pPr>
      <w:r w:rsidRPr="00F33FBC">
        <w:rPr>
          <w:rFonts w:cs="Arial"/>
          <w:i/>
        </w:rPr>
        <w:lastRenderedPageBreak/>
        <w:t xml:space="preserve">Tableau 4 – Tarif intérieur pour un colis de 250 grammes dans le cadre du régime intérieur, à compter du </w:t>
      </w:r>
      <w:r w:rsidR="00F33FBC">
        <w:rPr>
          <w:rFonts w:cs="Arial"/>
          <w:i/>
        </w:rPr>
        <w:br/>
      </w:r>
      <w:r w:rsidRPr="00F33FBC">
        <w:rPr>
          <w:rFonts w:cs="Arial"/>
          <w:i/>
        </w:rPr>
        <w:t>1</w:t>
      </w:r>
      <w:r w:rsidRPr="00F33FBC">
        <w:rPr>
          <w:rFonts w:cs="Arial"/>
          <w:i/>
          <w:vertAlign w:val="superscript"/>
        </w:rPr>
        <w:t>er</w:t>
      </w:r>
      <w:r w:rsidRPr="00F33FBC">
        <w:rPr>
          <w:rFonts w:cs="Arial"/>
          <w:i/>
        </w:rPr>
        <w:t xml:space="preserve"> mai 2026</w:t>
      </w:r>
    </w:p>
    <w:p w14:paraId="0EF07237" w14:textId="77777777" w:rsidR="004E7F60" w:rsidRPr="00C12FDB" w:rsidRDefault="004E7F60" w:rsidP="004E7F60">
      <w:pPr>
        <w:pStyle w:val="0Textedebase"/>
        <w:spacing w:line="220" w:lineRule="atLeast"/>
        <w:rPr>
          <w:rFonts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8"/>
      </w:tblGrid>
      <w:tr w:rsidR="004E7F60" w:rsidRPr="00C12FDB" w14:paraId="2C948E3C" w14:textId="77777777" w:rsidTr="00AD7FFE">
        <w:tc>
          <w:tcPr>
            <w:tcW w:w="2498" w:type="pct"/>
            <w:shd w:val="clear" w:color="auto" w:fill="auto"/>
          </w:tcPr>
          <w:p w14:paraId="395A4F78" w14:textId="77777777" w:rsidR="004E7F60" w:rsidRPr="00C12FDB" w:rsidRDefault="004E7F60" w:rsidP="0005520D">
            <w:pPr>
              <w:spacing w:before="60" w:after="60"/>
              <w:jc w:val="both"/>
              <w:rPr>
                <w:rFonts w:cs="Arial"/>
              </w:rPr>
            </w:pPr>
            <w:r w:rsidRPr="00C12FDB">
              <w:rPr>
                <w:rFonts w:cs="Arial"/>
              </w:rPr>
              <w:t>Taux sans tarification par zone (en devise locale)</w:t>
            </w:r>
          </w:p>
        </w:tc>
        <w:tc>
          <w:tcPr>
            <w:tcW w:w="2502" w:type="pct"/>
            <w:shd w:val="clear" w:color="auto" w:fill="auto"/>
          </w:tcPr>
          <w:p w14:paraId="58A77DDE" w14:textId="77777777" w:rsidR="004E7F60" w:rsidRPr="00C12FDB" w:rsidRDefault="004E7F60" w:rsidP="0005520D">
            <w:pPr>
              <w:spacing w:before="60" w:after="60"/>
              <w:jc w:val="both"/>
              <w:rPr>
                <w:rFonts w:cs="Arial"/>
              </w:rPr>
            </w:pPr>
          </w:p>
        </w:tc>
      </w:tr>
      <w:tr w:rsidR="004E7F60" w:rsidRPr="00C12FDB" w14:paraId="6FC8BB4A" w14:textId="77777777" w:rsidTr="00AD7FFE">
        <w:tc>
          <w:tcPr>
            <w:tcW w:w="2498" w:type="pct"/>
            <w:shd w:val="clear" w:color="auto" w:fill="auto"/>
          </w:tcPr>
          <w:p w14:paraId="5A214C71" w14:textId="1C125C9B" w:rsidR="004E7F60" w:rsidRPr="00AD7FFE" w:rsidRDefault="004E7F60" w:rsidP="0005520D">
            <w:pPr>
              <w:spacing w:before="60" w:after="60"/>
              <w:jc w:val="both"/>
              <w:rPr>
                <w:rFonts w:cs="Arial"/>
                <w:spacing w:val="-2"/>
              </w:rPr>
            </w:pPr>
            <w:r w:rsidRPr="00AD7FFE">
              <w:rPr>
                <w:rFonts w:cs="Arial"/>
                <w:spacing w:val="-2"/>
              </w:rPr>
              <w:t>Taux en cas de tarification par zone (en devise locale)</w:t>
            </w:r>
          </w:p>
        </w:tc>
        <w:tc>
          <w:tcPr>
            <w:tcW w:w="2502" w:type="pct"/>
            <w:shd w:val="clear" w:color="auto" w:fill="auto"/>
          </w:tcPr>
          <w:p w14:paraId="4A7E712D" w14:textId="77777777" w:rsidR="004E7F60" w:rsidRPr="00C12FDB" w:rsidRDefault="004E7F60" w:rsidP="0005520D">
            <w:pPr>
              <w:spacing w:before="60" w:after="60"/>
              <w:jc w:val="both"/>
              <w:rPr>
                <w:rFonts w:cs="Arial"/>
              </w:rPr>
            </w:pPr>
          </w:p>
        </w:tc>
      </w:tr>
      <w:tr w:rsidR="004E7F60" w:rsidRPr="00C12FDB" w14:paraId="6D3829B5"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02C5EDF6" w14:textId="2B09DBEE" w:rsidR="004E7F60" w:rsidRPr="00C12FDB" w:rsidRDefault="004E7F60" w:rsidP="009413EC">
            <w:pPr>
              <w:spacing w:before="60" w:after="60"/>
              <w:jc w:val="both"/>
              <w:rPr>
                <w:rFonts w:cs="Arial"/>
              </w:rPr>
            </w:pPr>
            <w:r w:rsidRPr="00C12FDB">
              <w:rPr>
                <w:rFonts w:cs="Arial"/>
              </w:rPr>
              <w:t>Si une tarification par zone s</w:t>
            </w:r>
            <w:r w:rsidR="00C12FDB">
              <w:rPr>
                <w:rFonts w:cs="Arial"/>
              </w:rPr>
              <w:t>’</w:t>
            </w:r>
            <w:r w:rsidRPr="00C12FDB">
              <w:rPr>
                <w:rFonts w:cs="Arial"/>
              </w:rPr>
              <w:t>applique, veuillez indi</w:t>
            </w:r>
            <w:r w:rsidR="00C12FDB">
              <w:rPr>
                <w:rFonts w:cs="Arial"/>
              </w:rPr>
              <w:softHyphen/>
            </w:r>
            <w:r w:rsidRPr="00C12FDB">
              <w:rPr>
                <w:rFonts w:cs="Arial"/>
              </w:rPr>
              <w:t>quer la méthode utilisée pour déterminer cette tari</w:t>
            </w:r>
            <w:r w:rsidR="00C12FDB">
              <w:rPr>
                <w:rFonts w:cs="Arial"/>
              </w:rPr>
              <w:softHyphen/>
            </w:r>
            <w:r w:rsidRPr="00C12FDB">
              <w:rPr>
                <w:rFonts w:cs="Arial"/>
              </w:rPr>
              <w:t>fication</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7E46B561" w14:textId="0A0036F3" w:rsidR="004E7F60" w:rsidRPr="00C12FDB" w:rsidRDefault="004E7F60" w:rsidP="00AD7FFE">
            <w:pPr>
              <w:pageBreakBefore/>
              <w:spacing w:before="60" w:after="60"/>
              <w:ind w:left="340" w:hanging="340"/>
              <w:jc w:val="both"/>
              <w:rPr>
                <w:rFonts w:cs="Arial"/>
              </w:rPr>
            </w:pPr>
            <w:r w:rsidRPr="00C12FDB">
              <w:rPr>
                <w:rFonts w:cs="Arial"/>
                <w:sz w:val="24"/>
              </w:rPr>
              <w:sym w:font="Wingdings" w:char="F072"/>
            </w:r>
            <w:r w:rsidRPr="00C12FDB">
              <w:rPr>
                <w:rFonts w:cs="Arial"/>
                <w:sz w:val="24"/>
              </w:rPr>
              <w:tab/>
            </w:r>
            <w:r w:rsidRPr="00C12FDB">
              <w:rPr>
                <w:rFonts w:cs="Arial"/>
              </w:rPr>
              <w:t>La tarification par zone indiquée ci-dessus cor</w:t>
            </w:r>
            <w:r w:rsidR="00C12FDB">
              <w:rPr>
                <w:rFonts w:cs="Arial"/>
              </w:rPr>
              <w:softHyphen/>
            </w:r>
            <w:r w:rsidRPr="00C12FDB">
              <w:rPr>
                <w:rFonts w:cs="Arial"/>
              </w:rPr>
              <w:t>respond à la distance moyenne réelle pondérée parcourue par les colis arrivants de l</w:t>
            </w:r>
            <w:r w:rsidR="00C12FDB">
              <w:rPr>
                <w:rFonts w:cs="Arial"/>
              </w:rPr>
              <w:t>’</w:t>
            </w:r>
            <w:r w:rsidRPr="00C12FDB">
              <w:rPr>
                <w:rFonts w:cs="Arial"/>
              </w:rPr>
              <w:t>opérateur désigné</w:t>
            </w:r>
            <w:r w:rsidRPr="00C12FDB">
              <w:rPr>
                <w:rStyle w:val="Appelnotedebasdep"/>
                <w:rFonts w:cs="Arial"/>
              </w:rPr>
              <w:footnoteReference w:id="3"/>
            </w:r>
          </w:p>
          <w:p w14:paraId="79A94139" w14:textId="77777777" w:rsidR="004E7F60" w:rsidRPr="00C12FDB" w:rsidRDefault="004E7F60" w:rsidP="00AD7FFE">
            <w:pPr>
              <w:pageBreakBefore/>
              <w:spacing w:before="60" w:after="60"/>
              <w:ind w:left="340" w:hanging="340"/>
              <w:jc w:val="both"/>
              <w:rPr>
                <w:rFonts w:cs="Arial"/>
              </w:rPr>
            </w:pPr>
            <w:r w:rsidRPr="00C12FDB">
              <w:rPr>
                <w:rFonts w:cs="Arial"/>
                <w:sz w:val="24"/>
              </w:rPr>
              <w:sym w:font="Wingdings" w:char="F072"/>
            </w:r>
            <w:r w:rsidRPr="00C12FDB">
              <w:rPr>
                <w:rFonts w:cs="Arial"/>
              </w:rPr>
              <w:tab/>
            </w:r>
            <w:r w:rsidRPr="00AD7FFE">
              <w:rPr>
                <w:rFonts w:cs="Arial"/>
                <w:spacing w:val="-3"/>
              </w:rPr>
              <w:t>La tarification par zone correspond au tarif médian</w:t>
            </w:r>
            <w:r w:rsidRPr="00C12FDB">
              <w:rPr>
                <w:rFonts w:cs="Arial"/>
              </w:rPr>
              <w:t xml:space="preserve"> du système de tarifs intérieurs par zone</w:t>
            </w:r>
          </w:p>
        </w:tc>
      </w:tr>
      <w:tr w:rsidR="004E7F60" w:rsidRPr="00C12FDB" w14:paraId="65EFD9C7"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1EA4E44A" w14:textId="77777777" w:rsidR="004E7F60" w:rsidRPr="00C12FDB" w:rsidRDefault="004E7F60" w:rsidP="0005520D">
            <w:pPr>
              <w:spacing w:before="60" w:after="60"/>
              <w:jc w:val="both"/>
              <w:rPr>
                <w:rFonts w:cs="Arial"/>
              </w:rPr>
            </w:pPr>
            <w:r w:rsidRPr="00C12FDB">
              <w:rPr>
                <w:rFonts w:cs="Arial"/>
              </w:rPr>
              <w:t>Taux de TVA ou autres taxes incluses dans le tarif</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36D6B523" w14:textId="77777777" w:rsidR="004E7F60" w:rsidRPr="00C12FDB" w:rsidRDefault="004E7F60" w:rsidP="0005520D">
            <w:pPr>
              <w:spacing w:before="60" w:after="60"/>
              <w:jc w:val="both"/>
              <w:rPr>
                <w:rFonts w:cs="Arial"/>
              </w:rPr>
            </w:pPr>
          </w:p>
        </w:tc>
      </w:tr>
      <w:tr w:rsidR="004E7F60" w:rsidRPr="00C12FDB" w14:paraId="37C25BFC"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3D828DDF" w14:textId="77777777" w:rsidR="004E7F60" w:rsidRPr="00C12FDB" w:rsidRDefault="004E7F60" w:rsidP="00243219">
            <w:pPr>
              <w:spacing w:before="60" w:after="60"/>
              <w:jc w:val="both"/>
              <w:rPr>
                <w:rFonts w:cs="Arial"/>
              </w:rPr>
            </w:pPr>
            <w:r w:rsidRPr="00C12FDB">
              <w:rPr>
                <w:rFonts w:cs="Arial"/>
              </w:rPr>
              <w:t>Format/catégorie dans le cadre du service intérieur</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54897109" w14:textId="77777777" w:rsidR="004E7F60" w:rsidRPr="00C12FDB" w:rsidRDefault="004E7F60" w:rsidP="0005520D">
            <w:pPr>
              <w:keepNext/>
              <w:keepLines/>
              <w:spacing w:before="60" w:after="60"/>
              <w:rPr>
                <w:rFonts w:cs="Arial"/>
              </w:rPr>
            </w:pPr>
          </w:p>
        </w:tc>
      </w:tr>
      <w:tr w:rsidR="004E7F60" w:rsidRPr="00C12FDB" w14:paraId="20EEDED3" w14:textId="77777777" w:rsidTr="00AD7FFE">
        <w:tc>
          <w:tcPr>
            <w:tcW w:w="2498" w:type="pct"/>
            <w:tcBorders>
              <w:top w:val="single" w:sz="4" w:space="0" w:color="auto"/>
              <w:left w:val="single" w:sz="4" w:space="0" w:color="auto"/>
              <w:right w:val="single" w:sz="4" w:space="0" w:color="auto"/>
            </w:tcBorders>
            <w:shd w:val="clear" w:color="auto" w:fill="auto"/>
          </w:tcPr>
          <w:p w14:paraId="364F93BC" w14:textId="04190923" w:rsidR="004E7F60" w:rsidRPr="00C12FDB" w:rsidRDefault="004E7F60" w:rsidP="0005520D">
            <w:pPr>
              <w:spacing w:before="60" w:after="60"/>
              <w:jc w:val="both"/>
              <w:rPr>
                <w:rFonts w:cs="Arial"/>
              </w:rPr>
            </w:pPr>
            <w:r w:rsidRPr="00C12FDB">
              <w:rPr>
                <w:rFonts w:cs="Arial"/>
              </w:rPr>
              <w:t>Veuillez indiquer si l</w:t>
            </w:r>
            <w:r w:rsidR="00C12FDB">
              <w:rPr>
                <w:rFonts w:cs="Arial"/>
              </w:rPr>
              <w:t>’</w:t>
            </w:r>
            <w:r w:rsidRPr="00C12FDB">
              <w:rPr>
                <w:rFonts w:cs="Arial"/>
              </w:rPr>
              <w:t>élément de service de preuve de distribution est compris dans le service de base</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25E36E30" w14:textId="449C0F0E" w:rsidR="004E7F60" w:rsidRPr="00C12FDB" w:rsidRDefault="004E7F60" w:rsidP="00AD7FFE">
            <w:pPr>
              <w:spacing w:before="60" w:after="60"/>
              <w:ind w:left="340" w:hanging="340"/>
              <w:jc w:val="both"/>
              <w:rPr>
                <w:rFonts w:cs="Arial"/>
              </w:rPr>
            </w:pPr>
            <w:r w:rsidRPr="00C12FDB">
              <w:rPr>
                <w:rFonts w:cs="Arial"/>
                <w:sz w:val="24"/>
              </w:rPr>
              <w:sym w:font="Wingdings" w:char="F072"/>
            </w:r>
            <w:r w:rsidR="00C12FDB">
              <w:rPr>
                <w:rFonts w:cs="Arial"/>
                <w:sz w:val="24"/>
              </w:rPr>
              <w:tab/>
            </w:r>
            <w:r w:rsidRPr="00C12FDB">
              <w:rPr>
                <w:rFonts w:cs="Arial"/>
              </w:rPr>
              <w:t>Oui</w:t>
            </w:r>
          </w:p>
          <w:p w14:paraId="2106E794" w14:textId="6B39A864" w:rsidR="004E7F60" w:rsidRPr="00C12FDB" w:rsidRDefault="004E7F60" w:rsidP="00AD7FFE">
            <w:pPr>
              <w:spacing w:before="60" w:after="60"/>
              <w:ind w:left="340" w:hanging="340"/>
              <w:jc w:val="both"/>
              <w:rPr>
                <w:rFonts w:cs="Arial"/>
              </w:rPr>
            </w:pPr>
            <w:r w:rsidRPr="00C12FDB">
              <w:rPr>
                <w:rFonts w:cs="Arial"/>
                <w:sz w:val="24"/>
              </w:rPr>
              <w:sym w:font="Wingdings" w:char="F072"/>
            </w:r>
            <w:r w:rsidR="00C12FDB">
              <w:rPr>
                <w:rFonts w:cs="Arial"/>
                <w:sz w:val="24"/>
              </w:rPr>
              <w:tab/>
            </w:r>
            <w:r w:rsidRPr="00C12FDB">
              <w:rPr>
                <w:rFonts w:cs="Arial"/>
              </w:rPr>
              <w:t>Non</w:t>
            </w:r>
          </w:p>
        </w:tc>
      </w:tr>
      <w:tr w:rsidR="004E7F60" w:rsidRPr="00C12FDB" w14:paraId="7B6F5B18"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06E71820" w14:textId="77777777" w:rsidR="004E7F60" w:rsidRPr="00C12FDB" w:rsidRDefault="004E7F60" w:rsidP="0005520D">
            <w:pPr>
              <w:spacing w:before="60" w:after="60"/>
              <w:rPr>
                <w:rFonts w:cs="Arial"/>
              </w:rPr>
            </w:pPr>
            <w:r w:rsidRPr="00C12FDB">
              <w:rPr>
                <w:rFonts w:cs="Arial"/>
              </w:rPr>
              <w:t>Site Web sur lequel ces informations peuvent être consultées</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6A954470" w14:textId="77777777" w:rsidR="004E7F60" w:rsidRPr="00C12FDB" w:rsidRDefault="004E7F60" w:rsidP="0005520D">
            <w:pPr>
              <w:spacing w:before="60" w:after="60"/>
              <w:rPr>
                <w:rFonts w:cs="Arial"/>
              </w:rPr>
            </w:pPr>
          </w:p>
        </w:tc>
      </w:tr>
    </w:tbl>
    <w:p w14:paraId="7A06A2D3" w14:textId="77777777" w:rsidR="004E7F60" w:rsidRPr="00C12FDB" w:rsidRDefault="004E7F60" w:rsidP="004E7F60">
      <w:pPr>
        <w:spacing w:line="200" w:lineRule="atLeast"/>
        <w:jc w:val="both"/>
        <w:rPr>
          <w:rFonts w:cs="Arial"/>
        </w:rPr>
      </w:pPr>
    </w:p>
    <w:p w14:paraId="6BA16346" w14:textId="56CA3E02" w:rsidR="004E7F60" w:rsidRPr="00F33FBC" w:rsidRDefault="004E7F60" w:rsidP="004E7F60">
      <w:pPr>
        <w:spacing w:line="200" w:lineRule="atLeast"/>
        <w:jc w:val="both"/>
        <w:rPr>
          <w:rFonts w:cs="Arial"/>
          <w:i/>
          <w:iCs/>
        </w:rPr>
      </w:pPr>
      <w:r w:rsidRPr="00F33FBC">
        <w:rPr>
          <w:rFonts w:cs="Arial"/>
          <w:i/>
        </w:rPr>
        <w:t xml:space="preserve">Tableau 5 – Tarif intérieur pour un colis de 500 grammes dans le cadre du régime intérieur, à compter du </w:t>
      </w:r>
      <w:r w:rsidR="00F33FBC">
        <w:rPr>
          <w:rFonts w:cs="Arial"/>
          <w:i/>
        </w:rPr>
        <w:br/>
      </w:r>
      <w:r w:rsidRPr="00F33FBC">
        <w:rPr>
          <w:rFonts w:cs="Arial"/>
          <w:i/>
        </w:rPr>
        <w:t>1</w:t>
      </w:r>
      <w:r w:rsidRPr="00F33FBC">
        <w:rPr>
          <w:rFonts w:cs="Arial"/>
          <w:i/>
          <w:vertAlign w:val="superscript"/>
        </w:rPr>
        <w:t>er</w:t>
      </w:r>
      <w:r w:rsidRPr="00F33FBC">
        <w:rPr>
          <w:rFonts w:cs="Arial"/>
          <w:i/>
        </w:rPr>
        <w:t xml:space="preserve"> mai 2026</w:t>
      </w:r>
    </w:p>
    <w:p w14:paraId="296A608E" w14:textId="77777777" w:rsidR="004E7F60" w:rsidRPr="00C12FDB" w:rsidRDefault="004E7F60" w:rsidP="004E7F60">
      <w:pPr>
        <w:pStyle w:val="0Textedebase"/>
        <w:spacing w:line="220" w:lineRule="atLeast"/>
        <w:rPr>
          <w:rFonts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8"/>
      </w:tblGrid>
      <w:tr w:rsidR="004E7F60" w:rsidRPr="00C12FDB" w14:paraId="04488678" w14:textId="77777777" w:rsidTr="00AD7FFE">
        <w:tc>
          <w:tcPr>
            <w:tcW w:w="2498" w:type="pct"/>
            <w:shd w:val="clear" w:color="auto" w:fill="auto"/>
          </w:tcPr>
          <w:p w14:paraId="7106DF41" w14:textId="77777777" w:rsidR="004E7F60" w:rsidRPr="00C12FDB" w:rsidRDefault="004E7F60" w:rsidP="0005520D">
            <w:pPr>
              <w:spacing w:before="60" w:after="60"/>
              <w:jc w:val="both"/>
              <w:rPr>
                <w:rFonts w:cs="Arial"/>
              </w:rPr>
            </w:pPr>
            <w:r w:rsidRPr="00C12FDB">
              <w:rPr>
                <w:rFonts w:cs="Arial"/>
              </w:rPr>
              <w:t>Taux sans tarification par zone (en devise locale)</w:t>
            </w:r>
          </w:p>
        </w:tc>
        <w:tc>
          <w:tcPr>
            <w:tcW w:w="2502" w:type="pct"/>
            <w:shd w:val="clear" w:color="auto" w:fill="auto"/>
          </w:tcPr>
          <w:p w14:paraId="2FAFBF3E" w14:textId="77777777" w:rsidR="004E7F60" w:rsidRPr="00C12FDB" w:rsidRDefault="004E7F60" w:rsidP="0005520D">
            <w:pPr>
              <w:spacing w:before="60" w:after="60"/>
              <w:jc w:val="both"/>
              <w:rPr>
                <w:rFonts w:cs="Arial"/>
              </w:rPr>
            </w:pPr>
          </w:p>
        </w:tc>
      </w:tr>
      <w:tr w:rsidR="004E7F60" w:rsidRPr="00C12FDB" w14:paraId="5B6BC60F" w14:textId="77777777" w:rsidTr="00AD7FFE">
        <w:tc>
          <w:tcPr>
            <w:tcW w:w="2498" w:type="pct"/>
            <w:shd w:val="clear" w:color="auto" w:fill="auto"/>
          </w:tcPr>
          <w:p w14:paraId="6D5B4E02" w14:textId="77777777" w:rsidR="004E7F60" w:rsidRPr="00EA7598" w:rsidRDefault="004E7F60" w:rsidP="00EA7598">
            <w:pPr>
              <w:spacing w:before="60" w:after="60"/>
              <w:jc w:val="both"/>
              <w:rPr>
                <w:rFonts w:cs="Arial"/>
              </w:rPr>
            </w:pPr>
            <w:r w:rsidRPr="00AD7FFE">
              <w:rPr>
                <w:rFonts w:cs="Arial"/>
                <w:spacing w:val="-2"/>
              </w:rPr>
              <w:t>Taux en cas de tarification par zone (en devise locale)</w:t>
            </w:r>
          </w:p>
        </w:tc>
        <w:tc>
          <w:tcPr>
            <w:tcW w:w="2502" w:type="pct"/>
            <w:shd w:val="clear" w:color="auto" w:fill="auto"/>
          </w:tcPr>
          <w:p w14:paraId="62CC8734" w14:textId="77777777" w:rsidR="004E7F60" w:rsidRPr="00C12FDB" w:rsidRDefault="004E7F60" w:rsidP="0005520D">
            <w:pPr>
              <w:spacing w:before="60" w:after="60"/>
              <w:jc w:val="both"/>
              <w:rPr>
                <w:rFonts w:cs="Arial"/>
              </w:rPr>
            </w:pPr>
          </w:p>
        </w:tc>
      </w:tr>
      <w:tr w:rsidR="004E7F60" w:rsidRPr="00C12FDB" w14:paraId="2B0DB754"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509A0411" w14:textId="253528BA" w:rsidR="004E7F60" w:rsidRPr="00C12FDB" w:rsidRDefault="004E7F60" w:rsidP="0005520D">
            <w:pPr>
              <w:spacing w:before="60" w:after="60"/>
              <w:jc w:val="both"/>
              <w:rPr>
                <w:rFonts w:cs="Arial"/>
              </w:rPr>
            </w:pPr>
            <w:r w:rsidRPr="00C12FDB">
              <w:rPr>
                <w:rFonts w:cs="Arial"/>
              </w:rPr>
              <w:t>Si une tarification par zone s</w:t>
            </w:r>
            <w:r w:rsidR="00C12FDB">
              <w:rPr>
                <w:rFonts w:cs="Arial"/>
              </w:rPr>
              <w:t>’</w:t>
            </w:r>
            <w:r w:rsidRPr="00C12FDB">
              <w:rPr>
                <w:rFonts w:cs="Arial"/>
              </w:rPr>
              <w:t>applique, veuillez indi</w:t>
            </w:r>
            <w:r w:rsidR="00C12FDB">
              <w:rPr>
                <w:rFonts w:cs="Arial"/>
              </w:rPr>
              <w:softHyphen/>
            </w:r>
            <w:r w:rsidRPr="00C12FDB">
              <w:rPr>
                <w:rFonts w:cs="Arial"/>
              </w:rPr>
              <w:t>quer la méthode utilisée pour déterminer cette tari</w:t>
            </w:r>
            <w:r w:rsidR="00C12FDB">
              <w:rPr>
                <w:rFonts w:cs="Arial"/>
              </w:rPr>
              <w:softHyphen/>
            </w:r>
            <w:r w:rsidRPr="00C12FDB">
              <w:rPr>
                <w:rFonts w:cs="Arial"/>
              </w:rPr>
              <w:t>fication</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3F9AD91E" w14:textId="77B78137" w:rsidR="004E7F60" w:rsidRPr="00C12FDB" w:rsidRDefault="004E7F60" w:rsidP="00AD7FFE">
            <w:pPr>
              <w:spacing w:before="60" w:after="60"/>
              <w:ind w:left="340" w:hanging="340"/>
              <w:jc w:val="both"/>
              <w:rPr>
                <w:rFonts w:cs="Arial"/>
              </w:rPr>
            </w:pPr>
            <w:r w:rsidRPr="00C12FDB">
              <w:rPr>
                <w:rFonts w:cs="Arial"/>
                <w:sz w:val="24"/>
              </w:rPr>
              <w:sym w:font="Wingdings" w:char="F072"/>
            </w:r>
            <w:r w:rsidRPr="00C12FDB">
              <w:rPr>
                <w:rFonts w:cs="Arial"/>
                <w:sz w:val="24"/>
              </w:rPr>
              <w:tab/>
            </w:r>
            <w:r w:rsidRPr="00C12FDB">
              <w:rPr>
                <w:rFonts w:cs="Arial"/>
              </w:rPr>
              <w:t>La tarification par zone indiquée ci-dessus cor</w:t>
            </w:r>
            <w:r w:rsidR="00C12FDB">
              <w:rPr>
                <w:rFonts w:cs="Arial"/>
              </w:rPr>
              <w:softHyphen/>
            </w:r>
            <w:r w:rsidRPr="00C12FDB">
              <w:rPr>
                <w:rFonts w:cs="Arial"/>
              </w:rPr>
              <w:t>respond à la distance moyenne réelle pondérée parcourue par les colis arrivants de l</w:t>
            </w:r>
            <w:r w:rsidR="00C12FDB">
              <w:rPr>
                <w:rFonts w:cs="Arial"/>
              </w:rPr>
              <w:t>’</w:t>
            </w:r>
            <w:r w:rsidRPr="00C12FDB">
              <w:rPr>
                <w:rFonts w:cs="Arial"/>
              </w:rPr>
              <w:t>opérateur désigné</w:t>
            </w:r>
            <w:r w:rsidRPr="00C12FDB">
              <w:rPr>
                <w:rStyle w:val="Appelnotedebasdep"/>
                <w:rFonts w:cs="Arial"/>
              </w:rPr>
              <w:footnoteReference w:id="4"/>
            </w:r>
          </w:p>
          <w:p w14:paraId="32881EAE" w14:textId="77777777" w:rsidR="004E7F60" w:rsidRPr="00C12FDB" w:rsidRDefault="004E7F60" w:rsidP="00AD7FFE">
            <w:pPr>
              <w:spacing w:before="60" w:after="60"/>
              <w:ind w:left="340" w:hanging="340"/>
              <w:jc w:val="both"/>
              <w:rPr>
                <w:rFonts w:cs="Arial"/>
              </w:rPr>
            </w:pPr>
            <w:r w:rsidRPr="00C12FDB">
              <w:rPr>
                <w:rFonts w:cs="Arial"/>
                <w:sz w:val="24"/>
              </w:rPr>
              <w:sym w:font="Wingdings" w:char="F072"/>
            </w:r>
            <w:r w:rsidRPr="00C12FDB">
              <w:rPr>
                <w:rFonts w:cs="Arial"/>
              </w:rPr>
              <w:tab/>
            </w:r>
            <w:r w:rsidRPr="005365D8">
              <w:rPr>
                <w:rFonts w:cs="Arial"/>
                <w:spacing w:val="-3"/>
              </w:rPr>
              <w:t>La tarification par zone correspond au tarif médian</w:t>
            </w:r>
            <w:r w:rsidRPr="00C12FDB">
              <w:rPr>
                <w:rFonts w:cs="Arial"/>
              </w:rPr>
              <w:t xml:space="preserve"> du système de tarifs intérieurs par zone</w:t>
            </w:r>
          </w:p>
        </w:tc>
      </w:tr>
      <w:tr w:rsidR="004E7F60" w:rsidRPr="00C12FDB" w14:paraId="45BF97D5"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483EDB3F" w14:textId="77777777" w:rsidR="004E7F60" w:rsidRPr="00C12FDB" w:rsidRDefault="004E7F60" w:rsidP="0005520D">
            <w:pPr>
              <w:spacing w:before="60" w:after="60"/>
              <w:jc w:val="both"/>
              <w:rPr>
                <w:rFonts w:cs="Arial"/>
              </w:rPr>
            </w:pPr>
            <w:r w:rsidRPr="00C12FDB">
              <w:rPr>
                <w:rFonts w:cs="Arial"/>
              </w:rPr>
              <w:t>Taux de TVA ou autres taxes incluses dans le tarif</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2E6DCF89" w14:textId="77777777" w:rsidR="004E7F60" w:rsidRPr="00C12FDB" w:rsidRDefault="004E7F60" w:rsidP="0005520D">
            <w:pPr>
              <w:spacing w:before="60" w:after="60"/>
              <w:jc w:val="both"/>
              <w:rPr>
                <w:rFonts w:cs="Arial"/>
              </w:rPr>
            </w:pPr>
          </w:p>
        </w:tc>
      </w:tr>
      <w:tr w:rsidR="004E7F60" w:rsidRPr="00C12FDB" w14:paraId="396A7B5E"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623090C8" w14:textId="77777777" w:rsidR="004E7F60" w:rsidRPr="00C12FDB" w:rsidRDefault="004E7F60" w:rsidP="00C12FDB">
            <w:pPr>
              <w:spacing w:before="60" w:after="60"/>
              <w:jc w:val="both"/>
              <w:rPr>
                <w:rFonts w:cs="Arial"/>
              </w:rPr>
            </w:pPr>
            <w:r w:rsidRPr="00C12FDB">
              <w:rPr>
                <w:rFonts w:cs="Arial"/>
              </w:rPr>
              <w:t>Format/catégorie dans le cadre du service intérieur</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7C2F30A7" w14:textId="77777777" w:rsidR="004E7F60" w:rsidRPr="00C12FDB" w:rsidRDefault="004E7F60" w:rsidP="0005520D">
            <w:pPr>
              <w:keepNext/>
              <w:keepLines/>
              <w:spacing w:before="60" w:after="60"/>
              <w:rPr>
                <w:rFonts w:cs="Arial"/>
              </w:rPr>
            </w:pPr>
          </w:p>
        </w:tc>
      </w:tr>
      <w:tr w:rsidR="004E7F60" w:rsidRPr="00C12FDB" w14:paraId="1A71DE1A" w14:textId="77777777" w:rsidTr="00AD7FFE">
        <w:tc>
          <w:tcPr>
            <w:tcW w:w="2498" w:type="pct"/>
            <w:tcBorders>
              <w:top w:val="single" w:sz="4" w:space="0" w:color="auto"/>
              <w:left w:val="single" w:sz="4" w:space="0" w:color="auto"/>
              <w:right w:val="single" w:sz="4" w:space="0" w:color="auto"/>
            </w:tcBorders>
            <w:shd w:val="clear" w:color="auto" w:fill="auto"/>
          </w:tcPr>
          <w:p w14:paraId="450B9300" w14:textId="0FE6A04E" w:rsidR="004E7F60" w:rsidRPr="00C12FDB" w:rsidRDefault="004E7F60" w:rsidP="0005520D">
            <w:pPr>
              <w:spacing w:before="60" w:after="60"/>
              <w:jc w:val="both"/>
              <w:rPr>
                <w:rFonts w:cs="Arial"/>
              </w:rPr>
            </w:pPr>
            <w:r w:rsidRPr="00C12FDB">
              <w:rPr>
                <w:rFonts w:cs="Arial"/>
              </w:rPr>
              <w:t>Veuillez indiquer si l</w:t>
            </w:r>
            <w:r w:rsidR="00C12FDB">
              <w:rPr>
                <w:rFonts w:cs="Arial"/>
              </w:rPr>
              <w:t>’</w:t>
            </w:r>
            <w:r w:rsidRPr="00C12FDB">
              <w:rPr>
                <w:rFonts w:cs="Arial"/>
              </w:rPr>
              <w:t>élément de service de preuve de distribution est compris dans le service de base</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68133646" w14:textId="443CF820" w:rsidR="004E7F60" w:rsidRPr="00C12FDB" w:rsidRDefault="004E7F60" w:rsidP="00AD7FFE">
            <w:pPr>
              <w:spacing w:before="60" w:after="60"/>
              <w:ind w:left="340" w:hanging="340"/>
              <w:jc w:val="both"/>
              <w:rPr>
                <w:rFonts w:cs="Arial"/>
              </w:rPr>
            </w:pPr>
            <w:r w:rsidRPr="00C12FDB">
              <w:rPr>
                <w:rFonts w:cs="Arial"/>
                <w:sz w:val="24"/>
              </w:rPr>
              <w:sym w:font="Wingdings" w:char="F072"/>
            </w:r>
            <w:r w:rsidR="00C12FDB">
              <w:rPr>
                <w:rFonts w:cs="Arial"/>
                <w:sz w:val="24"/>
              </w:rPr>
              <w:tab/>
            </w:r>
            <w:r w:rsidRPr="00C12FDB">
              <w:rPr>
                <w:rFonts w:cs="Arial"/>
              </w:rPr>
              <w:t>Oui</w:t>
            </w:r>
          </w:p>
          <w:p w14:paraId="4415FC03" w14:textId="2C4D234D" w:rsidR="004E7F60" w:rsidRPr="00C12FDB" w:rsidRDefault="004E7F60" w:rsidP="00AD7FFE">
            <w:pPr>
              <w:spacing w:before="60" w:after="60"/>
              <w:ind w:left="340" w:hanging="340"/>
              <w:jc w:val="both"/>
              <w:rPr>
                <w:rFonts w:cs="Arial"/>
              </w:rPr>
            </w:pPr>
            <w:r w:rsidRPr="00C12FDB">
              <w:rPr>
                <w:rFonts w:cs="Arial"/>
                <w:sz w:val="24"/>
              </w:rPr>
              <w:sym w:font="Wingdings" w:char="F072"/>
            </w:r>
            <w:r w:rsidR="00C12FDB">
              <w:rPr>
                <w:rFonts w:cs="Arial"/>
                <w:sz w:val="24"/>
              </w:rPr>
              <w:tab/>
            </w:r>
            <w:r w:rsidRPr="00C12FDB">
              <w:rPr>
                <w:rFonts w:cs="Arial"/>
              </w:rPr>
              <w:t>Non</w:t>
            </w:r>
          </w:p>
        </w:tc>
      </w:tr>
      <w:tr w:rsidR="004E7F60" w:rsidRPr="00C12FDB" w14:paraId="239C063E"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1D624B36" w14:textId="77777777" w:rsidR="004E7F60" w:rsidRPr="00C12FDB" w:rsidRDefault="004E7F60" w:rsidP="0005520D">
            <w:pPr>
              <w:spacing w:before="60" w:after="60"/>
              <w:rPr>
                <w:rFonts w:cs="Arial"/>
              </w:rPr>
            </w:pPr>
            <w:r w:rsidRPr="00C12FDB">
              <w:rPr>
                <w:rFonts w:cs="Arial"/>
              </w:rPr>
              <w:t>Site Web sur lequel ces informations peuvent être consultées</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5EEC2032" w14:textId="77777777" w:rsidR="004E7F60" w:rsidRPr="00C12FDB" w:rsidRDefault="004E7F60" w:rsidP="0005520D">
            <w:pPr>
              <w:spacing w:before="60" w:after="60"/>
              <w:rPr>
                <w:rFonts w:cs="Arial"/>
              </w:rPr>
            </w:pPr>
          </w:p>
        </w:tc>
      </w:tr>
    </w:tbl>
    <w:p w14:paraId="33A83777" w14:textId="77777777" w:rsidR="004E7F60" w:rsidRPr="00C12FDB" w:rsidRDefault="004E7F60" w:rsidP="004E7F60">
      <w:pPr>
        <w:spacing w:line="200" w:lineRule="atLeast"/>
        <w:jc w:val="both"/>
        <w:rPr>
          <w:rFonts w:cs="Arial"/>
        </w:rPr>
      </w:pPr>
    </w:p>
    <w:p w14:paraId="0751D114" w14:textId="77777777" w:rsidR="009413EC" w:rsidRDefault="009413EC">
      <w:pPr>
        <w:spacing w:line="240" w:lineRule="auto"/>
        <w:rPr>
          <w:rFonts w:cs="Arial"/>
          <w:i/>
        </w:rPr>
      </w:pPr>
      <w:r>
        <w:rPr>
          <w:rFonts w:cs="Arial"/>
          <w:i/>
        </w:rPr>
        <w:br w:type="page"/>
      </w:r>
    </w:p>
    <w:p w14:paraId="49706225" w14:textId="047493AC" w:rsidR="004E7F60" w:rsidRPr="00C12FDB" w:rsidRDefault="004E7F60" w:rsidP="00F33FBC">
      <w:pPr>
        <w:spacing w:line="240" w:lineRule="auto"/>
        <w:jc w:val="both"/>
        <w:rPr>
          <w:rFonts w:cs="Arial"/>
          <w:i/>
          <w:iCs/>
        </w:rPr>
      </w:pPr>
      <w:r w:rsidRPr="00C12FDB">
        <w:rPr>
          <w:rFonts w:cs="Arial"/>
          <w:i/>
        </w:rPr>
        <w:lastRenderedPageBreak/>
        <w:t xml:space="preserve">Tableau 6 – Tarif intérieur pour un colis de 1 kilogramme dans le cadre du régime intérieur, à compter du </w:t>
      </w:r>
      <w:r w:rsidR="00F33FBC">
        <w:rPr>
          <w:rFonts w:cs="Arial"/>
          <w:i/>
        </w:rPr>
        <w:br/>
      </w:r>
      <w:r w:rsidRPr="00C12FDB">
        <w:rPr>
          <w:rFonts w:cs="Arial"/>
          <w:i/>
        </w:rPr>
        <w:t>1</w:t>
      </w:r>
      <w:r w:rsidRPr="00C12FDB">
        <w:rPr>
          <w:rFonts w:cs="Arial"/>
          <w:i/>
          <w:vertAlign w:val="superscript"/>
        </w:rPr>
        <w:t>er</w:t>
      </w:r>
      <w:r w:rsidRPr="00C12FDB">
        <w:rPr>
          <w:rFonts w:cs="Arial"/>
          <w:i/>
        </w:rPr>
        <w:t xml:space="preserve"> mai 2026</w:t>
      </w:r>
    </w:p>
    <w:p w14:paraId="7772069F" w14:textId="77777777" w:rsidR="004E7F60" w:rsidRPr="00C12FDB" w:rsidRDefault="004E7F60" w:rsidP="004E7F60">
      <w:pPr>
        <w:pStyle w:val="0Textedebase"/>
        <w:spacing w:line="220" w:lineRule="atLeast"/>
        <w:rPr>
          <w:rFonts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8"/>
      </w:tblGrid>
      <w:tr w:rsidR="004E7F60" w:rsidRPr="00C12FDB" w14:paraId="46662BF4" w14:textId="77777777" w:rsidTr="00AD7FFE">
        <w:tc>
          <w:tcPr>
            <w:tcW w:w="2498" w:type="pct"/>
            <w:shd w:val="clear" w:color="auto" w:fill="auto"/>
          </w:tcPr>
          <w:p w14:paraId="6C74F227" w14:textId="77777777" w:rsidR="004E7F60" w:rsidRPr="00C12FDB" w:rsidRDefault="004E7F60" w:rsidP="0005520D">
            <w:pPr>
              <w:spacing w:before="60" w:after="60"/>
              <w:jc w:val="both"/>
              <w:rPr>
                <w:rFonts w:cs="Arial"/>
              </w:rPr>
            </w:pPr>
            <w:r w:rsidRPr="00C12FDB">
              <w:rPr>
                <w:rFonts w:cs="Arial"/>
              </w:rPr>
              <w:t>Taux sans tarification par zone (en devise locale)</w:t>
            </w:r>
          </w:p>
        </w:tc>
        <w:tc>
          <w:tcPr>
            <w:tcW w:w="2502" w:type="pct"/>
            <w:shd w:val="clear" w:color="auto" w:fill="auto"/>
          </w:tcPr>
          <w:p w14:paraId="5D7AADB0" w14:textId="77777777" w:rsidR="004E7F60" w:rsidRPr="00C12FDB" w:rsidRDefault="004E7F60" w:rsidP="0005520D">
            <w:pPr>
              <w:spacing w:before="60" w:after="60"/>
              <w:jc w:val="both"/>
              <w:rPr>
                <w:rFonts w:cs="Arial"/>
              </w:rPr>
            </w:pPr>
          </w:p>
        </w:tc>
      </w:tr>
      <w:tr w:rsidR="004E7F60" w:rsidRPr="00C12FDB" w14:paraId="1705559F" w14:textId="77777777" w:rsidTr="00AD7FFE">
        <w:tc>
          <w:tcPr>
            <w:tcW w:w="2498" w:type="pct"/>
            <w:shd w:val="clear" w:color="auto" w:fill="auto"/>
          </w:tcPr>
          <w:p w14:paraId="58B10283" w14:textId="77777777" w:rsidR="004E7F60" w:rsidRPr="00EA7598" w:rsidRDefault="004E7F60" w:rsidP="0005520D">
            <w:pPr>
              <w:spacing w:before="60" w:after="60"/>
              <w:jc w:val="both"/>
              <w:rPr>
                <w:rFonts w:cs="Arial"/>
              </w:rPr>
            </w:pPr>
            <w:r w:rsidRPr="00AD7FFE">
              <w:rPr>
                <w:rFonts w:cs="Arial"/>
                <w:spacing w:val="-2"/>
              </w:rPr>
              <w:t>Taux en cas de tarification par zone (en devise locale)</w:t>
            </w:r>
          </w:p>
        </w:tc>
        <w:tc>
          <w:tcPr>
            <w:tcW w:w="2502" w:type="pct"/>
            <w:shd w:val="clear" w:color="auto" w:fill="auto"/>
          </w:tcPr>
          <w:p w14:paraId="19BA3163" w14:textId="77777777" w:rsidR="004E7F60" w:rsidRPr="00C12FDB" w:rsidRDefault="004E7F60" w:rsidP="0005520D">
            <w:pPr>
              <w:spacing w:before="60" w:after="60"/>
              <w:jc w:val="both"/>
              <w:rPr>
                <w:rFonts w:cs="Arial"/>
              </w:rPr>
            </w:pPr>
          </w:p>
        </w:tc>
      </w:tr>
      <w:tr w:rsidR="004E7F60" w:rsidRPr="00C12FDB" w14:paraId="672E16E4"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42B26025" w14:textId="781CA694" w:rsidR="004E7F60" w:rsidRPr="00C12FDB" w:rsidRDefault="004E7F60" w:rsidP="009413EC">
            <w:pPr>
              <w:spacing w:before="60" w:after="60"/>
              <w:jc w:val="both"/>
              <w:rPr>
                <w:rFonts w:cs="Arial"/>
              </w:rPr>
            </w:pPr>
            <w:r w:rsidRPr="00C12FDB">
              <w:rPr>
                <w:rFonts w:cs="Arial"/>
              </w:rPr>
              <w:t>Si une tarification par zone s</w:t>
            </w:r>
            <w:r w:rsidR="00C12FDB">
              <w:rPr>
                <w:rFonts w:cs="Arial"/>
              </w:rPr>
              <w:t>’</w:t>
            </w:r>
            <w:r w:rsidRPr="00C12FDB">
              <w:rPr>
                <w:rFonts w:cs="Arial"/>
              </w:rPr>
              <w:t>applique, veuillez indi</w:t>
            </w:r>
            <w:r w:rsidR="00C12FDB">
              <w:rPr>
                <w:rFonts w:cs="Arial"/>
              </w:rPr>
              <w:softHyphen/>
            </w:r>
            <w:r w:rsidRPr="00C12FDB">
              <w:rPr>
                <w:rFonts w:cs="Arial"/>
              </w:rPr>
              <w:t>quer la méthode utilisée pour déterminer cette tari</w:t>
            </w:r>
            <w:r w:rsidR="00C12FDB">
              <w:rPr>
                <w:rFonts w:cs="Arial"/>
              </w:rPr>
              <w:softHyphen/>
            </w:r>
            <w:r w:rsidRPr="00C12FDB">
              <w:rPr>
                <w:rFonts w:cs="Arial"/>
              </w:rPr>
              <w:t>fication:</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501F4BCC" w14:textId="7E2F63FD" w:rsidR="004E7F60" w:rsidRPr="00C12FDB" w:rsidRDefault="004E7F60" w:rsidP="005365D8">
            <w:pPr>
              <w:pageBreakBefore/>
              <w:spacing w:before="60" w:after="60"/>
              <w:ind w:left="340" w:hanging="340"/>
              <w:jc w:val="both"/>
              <w:rPr>
                <w:rFonts w:cs="Arial"/>
              </w:rPr>
            </w:pPr>
            <w:r w:rsidRPr="00C12FDB">
              <w:rPr>
                <w:rFonts w:cs="Arial"/>
                <w:sz w:val="24"/>
              </w:rPr>
              <w:sym w:font="Wingdings" w:char="F072"/>
            </w:r>
            <w:r w:rsidRPr="00C12FDB">
              <w:rPr>
                <w:rFonts w:cs="Arial"/>
                <w:sz w:val="24"/>
              </w:rPr>
              <w:tab/>
            </w:r>
            <w:r w:rsidRPr="00C12FDB">
              <w:rPr>
                <w:rFonts w:cs="Arial"/>
              </w:rPr>
              <w:t>La tarification par zone indiquée ci-dessus cor</w:t>
            </w:r>
            <w:r w:rsidR="00C12FDB">
              <w:rPr>
                <w:rFonts w:cs="Arial"/>
              </w:rPr>
              <w:softHyphen/>
            </w:r>
            <w:r w:rsidRPr="00C12FDB">
              <w:rPr>
                <w:rFonts w:cs="Arial"/>
              </w:rPr>
              <w:t>respond à la distance moyenne réelle pondérée parcourue par les colis arrivants de l</w:t>
            </w:r>
            <w:r w:rsidR="00C12FDB">
              <w:rPr>
                <w:rFonts w:cs="Arial"/>
              </w:rPr>
              <w:t>’</w:t>
            </w:r>
            <w:r w:rsidRPr="00C12FDB">
              <w:rPr>
                <w:rFonts w:cs="Arial"/>
              </w:rPr>
              <w:t>opérateur désigné</w:t>
            </w:r>
            <w:r w:rsidRPr="00C12FDB">
              <w:rPr>
                <w:rStyle w:val="Appelnotedebasdep"/>
                <w:rFonts w:cs="Arial"/>
              </w:rPr>
              <w:footnoteReference w:id="5"/>
            </w:r>
          </w:p>
          <w:p w14:paraId="5BABC193" w14:textId="77777777" w:rsidR="004E7F60" w:rsidRPr="00C12FDB" w:rsidRDefault="004E7F60" w:rsidP="005365D8">
            <w:pPr>
              <w:pageBreakBefore/>
              <w:spacing w:before="60" w:after="60"/>
              <w:ind w:left="340" w:hanging="340"/>
              <w:jc w:val="both"/>
              <w:rPr>
                <w:rFonts w:cs="Arial"/>
              </w:rPr>
            </w:pPr>
            <w:r w:rsidRPr="00C12FDB">
              <w:rPr>
                <w:rFonts w:cs="Arial"/>
                <w:sz w:val="24"/>
              </w:rPr>
              <w:sym w:font="Wingdings" w:char="F072"/>
            </w:r>
            <w:r w:rsidRPr="00C12FDB">
              <w:rPr>
                <w:rFonts w:cs="Arial"/>
              </w:rPr>
              <w:tab/>
            </w:r>
            <w:r w:rsidRPr="005365D8">
              <w:rPr>
                <w:rFonts w:cs="Arial"/>
                <w:spacing w:val="-3"/>
              </w:rPr>
              <w:t>La tarification par zone correspond au tarif médian</w:t>
            </w:r>
            <w:r w:rsidRPr="00C12FDB">
              <w:rPr>
                <w:rFonts w:cs="Arial"/>
              </w:rPr>
              <w:t xml:space="preserve"> du système de tarifs intérieurs par zone</w:t>
            </w:r>
          </w:p>
        </w:tc>
      </w:tr>
      <w:tr w:rsidR="004E7F60" w:rsidRPr="00C12FDB" w14:paraId="7AE0B5AB"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6E3117A5" w14:textId="77777777" w:rsidR="004E7F60" w:rsidRPr="00C12FDB" w:rsidRDefault="004E7F60" w:rsidP="0005520D">
            <w:pPr>
              <w:spacing w:before="60" w:after="60"/>
              <w:jc w:val="both"/>
              <w:rPr>
                <w:rFonts w:cs="Arial"/>
              </w:rPr>
            </w:pPr>
            <w:r w:rsidRPr="00C12FDB">
              <w:rPr>
                <w:rFonts w:cs="Arial"/>
              </w:rPr>
              <w:t>Taux de TVA ou autres taxes incluses dans le tarif</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6C650794" w14:textId="77777777" w:rsidR="004E7F60" w:rsidRPr="00C12FDB" w:rsidRDefault="004E7F60" w:rsidP="0005520D">
            <w:pPr>
              <w:spacing w:before="60" w:after="60"/>
              <w:jc w:val="both"/>
              <w:rPr>
                <w:rFonts w:cs="Arial"/>
              </w:rPr>
            </w:pPr>
          </w:p>
        </w:tc>
      </w:tr>
      <w:tr w:rsidR="004E7F60" w:rsidRPr="00C12FDB" w14:paraId="3EA61949"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19A65989" w14:textId="77777777" w:rsidR="004E7F60" w:rsidRPr="00C12FDB" w:rsidRDefault="004E7F60" w:rsidP="00243219">
            <w:pPr>
              <w:spacing w:before="60" w:after="60"/>
              <w:jc w:val="both"/>
              <w:rPr>
                <w:rFonts w:cs="Arial"/>
              </w:rPr>
            </w:pPr>
            <w:r w:rsidRPr="00C12FDB">
              <w:rPr>
                <w:rFonts w:cs="Arial"/>
              </w:rPr>
              <w:t>Format/catégorie dans le cadre du service intérieur</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1DC58C5A" w14:textId="77777777" w:rsidR="004E7F60" w:rsidRPr="00C12FDB" w:rsidRDefault="004E7F60" w:rsidP="0005520D">
            <w:pPr>
              <w:keepNext/>
              <w:keepLines/>
              <w:spacing w:before="60" w:after="60"/>
              <w:rPr>
                <w:rFonts w:cs="Arial"/>
              </w:rPr>
            </w:pPr>
          </w:p>
        </w:tc>
      </w:tr>
      <w:tr w:rsidR="004E7F60" w:rsidRPr="00C12FDB" w14:paraId="583D2C45" w14:textId="77777777" w:rsidTr="00AD7FFE">
        <w:tc>
          <w:tcPr>
            <w:tcW w:w="2498" w:type="pct"/>
            <w:tcBorders>
              <w:top w:val="single" w:sz="4" w:space="0" w:color="auto"/>
              <w:left w:val="single" w:sz="4" w:space="0" w:color="auto"/>
              <w:right w:val="single" w:sz="4" w:space="0" w:color="auto"/>
            </w:tcBorders>
            <w:shd w:val="clear" w:color="auto" w:fill="auto"/>
          </w:tcPr>
          <w:p w14:paraId="0524CF07" w14:textId="6C9D479C" w:rsidR="004E7F60" w:rsidRPr="00C12FDB" w:rsidRDefault="004E7F60" w:rsidP="0005520D">
            <w:pPr>
              <w:spacing w:before="60" w:after="60"/>
              <w:jc w:val="both"/>
              <w:rPr>
                <w:rFonts w:cs="Arial"/>
              </w:rPr>
            </w:pPr>
            <w:r w:rsidRPr="00C12FDB">
              <w:rPr>
                <w:rFonts w:cs="Arial"/>
              </w:rPr>
              <w:t>Veuillez indiquer si l</w:t>
            </w:r>
            <w:r w:rsidR="00C12FDB">
              <w:rPr>
                <w:rFonts w:cs="Arial"/>
              </w:rPr>
              <w:t>’</w:t>
            </w:r>
            <w:r w:rsidRPr="00C12FDB">
              <w:rPr>
                <w:rFonts w:cs="Arial"/>
              </w:rPr>
              <w:t>élément de service de preuve de distribution est compris dans le service de base</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7026FA49" w14:textId="2E0A56C8" w:rsidR="004E7F60" w:rsidRPr="00C12FDB" w:rsidRDefault="004E7F60" w:rsidP="00AD7FFE">
            <w:pPr>
              <w:spacing w:before="60" w:after="60"/>
              <w:ind w:left="340" w:hanging="340"/>
              <w:jc w:val="both"/>
              <w:rPr>
                <w:rFonts w:cs="Arial"/>
              </w:rPr>
            </w:pPr>
            <w:r w:rsidRPr="00C12FDB">
              <w:rPr>
                <w:rFonts w:cs="Arial"/>
                <w:sz w:val="24"/>
              </w:rPr>
              <w:sym w:font="Wingdings" w:char="F072"/>
            </w:r>
            <w:r w:rsidR="004B3B07">
              <w:rPr>
                <w:rFonts w:cs="Arial"/>
                <w:sz w:val="24"/>
              </w:rPr>
              <w:tab/>
            </w:r>
            <w:r w:rsidRPr="00C12FDB">
              <w:rPr>
                <w:rFonts w:cs="Arial"/>
              </w:rPr>
              <w:t>Oui</w:t>
            </w:r>
          </w:p>
          <w:p w14:paraId="225CABF2" w14:textId="43F1C6C7" w:rsidR="004E7F60" w:rsidRPr="00C12FDB" w:rsidRDefault="004E7F60" w:rsidP="00AD7FFE">
            <w:pPr>
              <w:spacing w:before="60" w:after="60"/>
              <w:ind w:left="340" w:hanging="340"/>
              <w:jc w:val="both"/>
              <w:rPr>
                <w:rFonts w:cs="Arial"/>
              </w:rPr>
            </w:pPr>
            <w:r w:rsidRPr="00C12FDB">
              <w:rPr>
                <w:rFonts w:cs="Arial"/>
                <w:sz w:val="24"/>
              </w:rPr>
              <w:sym w:font="Wingdings" w:char="F072"/>
            </w:r>
            <w:r w:rsidR="004B3B07">
              <w:rPr>
                <w:rFonts w:cs="Arial"/>
                <w:sz w:val="24"/>
              </w:rPr>
              <w:tab/>
            </w:r>
            <w:r w:rsidRPr="00C12FDB">
              <w:rPr>
                <w:rFonts w:cs="Arial"/>
              </w:rPr>
              <w:t>Non</w:t>
            </w:r>
          </w:p>
        </w:tc>
      </w:tr>
      <w:tr w:rsidR="004E7F60" w:rsidRPr="00C12FDB" w14:paraId="305446C3"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3DD8263D" w14:textId="77777777" w:rsidR="004E7F60" w:rsidRPr="00C12FDB" w:rsidRDefault="004E7F60" w:rsidP="0005520D">
            <w:pPr>
              <w:spacing w:before="60" w:after="60"/>
              <w:rPr>
                <w:rFonts w:cs="Arial"/>
              </w:rPr>
            </w:pPr>
            <w:r w:rsidRPr="00C12FDB">
              <w:rPr>
                <w:rFonts w:cs="Arial"/>
              </w:rPr>
              <w:t>Site Web sur lequel ces informations peuvent être consultées</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283FBD77" w14:textId="77777777" w:rsidR="004E7F60" w:rsidRPr="00C12FDB" w:rsidRDefault="004E7F60" w:rsidP="0005520D">
            <w:pPr>
              <w:spacing w:before="60" w:after="60"/>
              <w:rPr>
                <w:rFonts w:cs="Arial"/>
              </w:rPr>
            </w:pPr>
          </w:p>
        </w:tc>
      </w:tr>
    </w:tbl>
    <w:p w14:paraId="2C2B7A16" w14:textId="77777777" w:rsidR="004E7F60" w:rsidRPr="004B3B07" w:rsidRDefault="004E7F60" w:rsidP="004E7F60">
      <w:pPr>
        <w:spacing w:line="200" w:lineRule="atLeast"/>
        <w:jc w:val="both"/>
        <w:rPr>
          <w:rFonts w:cs="Arial"/>
        </w:rPr>
      </w:pPr>
    </w:p>
    <w:p w14:paraId="1AF77044" w14:textId="27B9C0CC" w:rsidR="004E7F60" w:rsidRPr="00C12FDB" w:rsidRDefault="004E7F60" w:rsidP="00F33FBC">
      <w:pPr>
        <w:spacing w:line="240" w:lineRule="auto"/>
        <w:jc w:val="both"/>
        <w:rPr>
          <w:rFonts w:cs="Arial"/>
          <w:i/>
          <w:iCs/>
        </w:rPr>
      </w:pPr>
      <w:r w:rsidRPr="00C12FDB">
        <w:rPr>
          <w:rFonts w:cs="Arial"/>
          <w:i/>
        </w:rPr>
        <w:t xml:space="preserve">Tableau 7 – Tarif intérieur pour un colis de 2 kilogrammes dans le cadre du régime intérieur, à compter du </w:t>
      </w:r>
      <w:r w:rsidR="00F33FBC">
        <w:rPr>
          <w:rFonts w:cs="Arial"/>
          <w:i/>
        </w:rPr>
        <w:br/>
      </w:r>
      <w:r w:rsidRPr="00C12FDB">
        <w:rPr>
          <w:rFonts w:cs="Arial"/>
          <w:i/>
        </w:rPr>
        <w:t>1</w:t>
      </w:r>
      <w:r w:rsidRPr="00C12FDB">
        <w:rPr>
          <w:rFonts w:cs="Arial"/>
          <w:i/>
          <w:vertAlign w:val="superscript"/>
        </w:rPr>
        <w:t>er</w:t>
      </w:r>
      <w:r w:rsidRPr="00C12FDB">
        <w:rPr>
          <w:rFonts w:cs="Arial"/>
          <w:i/>
        </w:rPr>
        <w:t xml:space="preserve"> mai 2026</w:t>
      </w:r>
    </w:p>
    <w:p w14:paraId="219AA51D" w14:textId="77777777" w:rsidR="004E7F60" w:rsidRPr="00C12FDB" w:rsidRDefault="004E7F60" w:rsidP="004E7F60">
      <w:pPr>
        <w:pStyle w:val="0Textedebase"/>
        <w:spacing w:line="220" w:lineRule="atLeast"/>
        <w:rPr>
          <w:rFonts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8"/>
      </w:tblGrid>
      <w:tr w:rsidR="004E7F60" w:rsidRPr="00C12FDB" w14:paraId="753EDE52" w14:textId="77777777" w:rsidTr="00AD7FFE">
        <w:tc>
          <w:tcPr>
            <w:tcW w:w="2498" w:type="pct"/>
            <w:shd w:val="clear" w:color="auto" w:fill="auto"/>
          </w:tcPr>
          <w:p w14:paraId="44BD1D28" w14:textId="77777777" w:rsidR="004E7F60" w:rsidRPr="00C12FDB" w:rsidRDefault="004E7F60" w:rsidP="0005520D">
            <w:pPr>
              <w:spacing w:before="60" w:after="60"/>
              <w:jc w:val="both"/>
              <w:rPr>
                <w:rFonts w:cs="Arial"/>
              </w:rPr>
            </w:pPr>
            <w:r w:rsidRPr="00C12FDB">
              <w:rPr>
                <w:rFonts w:cs="Arial"/>
              </w:rPr>
              <w:t>Taux sans tarification par zone (en devise locale)</w:t>
            </w:r>
          </w:p>
        </w:tc>
        <w:tc>
          <w:tcPr>
            <w:tcW w:w="2502" w:type="pct"/>
            <w:shd w:val="clear" w:color="auto" w:fill="auto"/>
          </w:tcPr>
          <w:p w14:paraId="26145648" w14:textId="77777777" w:rsidR="004E7F60" w:rsidRPr="00C12FDB" w:rsidRDefault="004E7F60" w:rsidP="0005520D">
            <w:pPr>
              <w:spacing w:before="60" w:after="60"/>
              <w:jc w:val="both"/>
              <w:rPr>
                <w:rFonts w:cs="Arial"/>
              </w:rPr>
            </w:pPr>
          </w:p>
        </w:tc>
      </w:tr>
      <w:tr w:rsidR="004E7F60" w:rsidRPr="00C12FDB" w14:paraId="588B6384" w14:textId="77777777" w:rsidTr="00AD7FFE">
        <w:tc>
          <w:tcPr>
            <w:tcW w:w="2498" w:type="pct"/>
            <w:shd w:val="clear" w:color="auto" w:fill="auto"/>
          </w:tcPr>
          <w:p w14:paraId="07E3EBA6" w14:textId="77777777" w:rsidR="004E7F60" w:rsidRPr="00C12FDB" w:rsidRDefault="004E7F60" w:rsidP="0005520D">
            <w:pPr>
              <w:spacing w:before="60" w:after="60"/>
              <w:jc w:val="both"/>
              <w:rPr>
                <w:rFonts w:cs="Arial"/>
              </w:rPr>
            </w:pPr>
            <w:r w:rsidRPr="00AD7FFE">
              <w:rPr>
                <w:rFonts w:cs="Arial"/>
                <w:spacing w:val="-2"/>
              </w:rPr>
              <w:t>Taux en cas de tarification par zone (en devise locale)</w:t>
            </w:r>
          </w:p>
        </w:tc>
        <w:tc>
          <w:tcPr>
            <w:tcW w:w="2502" w:type="pct"/>
            <w:shd w:val="clear" w:color="auto" w:fill="auto"/>
          </w:tcPr>
          <w:p w14:paraId="4DD3FC85" w14:textId="77777777" w:rsidR="004E7F60" w:rsidRPr="00C12FDB" w:rsidRDefault="004E7F60" w:rsidP="0005520D">
            <w:pPr>
              <w:spacing w:before="60" w:after="60"/>
              <w:jc w:val="both"/>
              <w:rPr>
                <w:rFonts w:cs="Arial"/>
              </w:rPr>
            </w:pPr>
          </w:p>
        </w:tc>
      </w:tr>
      <w:tr w:rsidR="004E7F60" w:rsidRPr="00C12FDB" w14:paraId="20C251BE"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767599B0" w14:textId="1E2A3891" w:rsidR="004E7F60" w:rsidRPr="00C12FDB" w:rsidRDefault="004E7F60" w:rsidP="0005520D">
            <w:pPr>
              <w:spacing w:before="60" w:after="60"/>
              <w:jc w:val="both"/>
              <w:rPr>
                <w:rFonts w:cs="Arial"/>
              </w:rPr>
            </w:pPr>
            <w:r w:rsidRPr="00C12FDB">
              <w:rPr>
                <w:rFonts w:cs="Arial"/>
              </w:rPr>
              <w:t>Si une tarification par zone s</w:t>
            </w:r>
            <w:r w:rsidR="00C12FDB">
              <w:rPr>
                <w:rFonts w:cs="Arial"/>
              </w:rPr>
              <w:t>’</w:t>
            </w:r>
            <w:r w:rsidRPr="00C12FDB">
              <w:rPr>
                <w:rFonts w:cs="Arial"/>
              </w:rPr>
              <w:t>applique, veuillez indi</w:t>
            </w:r>
            <w:r w:rsidR="004B3B07">
              <w:rPr>
                <w:rFonts w:cs="Arial"/>
              </w:rPr>
              <w:softHyphen/>
            </w:r>
            <w:r w:rsidRPr="00C12FDB">
              <w:rPr>
                <w:rFonts w:cs="Arial"/>
              </w:rPr>
              <w:t>quer la méthode utilisée pour déterminer cette tari</w:t>
            </w:r>
            <w:r w:rsidR="004B3B07">
              <w:rPr>
                <w:rFonts w:cs="Arial"/>
              </w:rPr>
              <w:softHyphen/>
            </w:r>
            <w:r w:rsidRPr="00C12FDB">
              <w:rPr>
                <w:rFonts w:cs="Arial"/>
              </w:rPr>
              <w:t>fication</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1895F3DE" w14:textId="2D639C15" w:rsidR="004E7F60" w:rsidRPr="00C12FDB" w:rsidRDefault="004E7F60" w:rsidP="00AD7FFE">
            <w:pPr>
              <w:spacing w:before="60" w:after="60"/>
              <w:ind w:left="340" w:hanging="340"/>
              <w:jc w:val="both"/>
              <w:rPr>
                <w:rFonts w:cs="Arial"/>
              </w:rPr>
            </w:pPr>
            <w:r w:rsidRPr="00C12FDB">
              <w:rPr>
                <w:rFonts w:cs="Arial"/>
                <w:sz w:val="24"/>
              </w:rPr>
              <w:sym w:font="Wingdings" w:char="F072"/>
            </w:r>
            <w:r w:rsidRPr="00C12FDB">
              <w:rPr>
                <w:rFonts w:cs="Arial"/>
                <w:sz w:val="24"/>
              </w:rPr>
              <w:tab/>
            </w:r>
            <w:r w:rsidRPr="00C12FDB">
              <w:rPr>
                <w:rFonts w:cs="Arial"/>
              </w:rPr>
              <w:t>La tarification par zone indiquée ci-dessus cor</w:t>
            </w:r>
            <w:r w:rsidR="004B3B07">
              <w:rPr>
                <w:rFonts w:cs="Arial"/>
              </w:rPr>
              <w:softHyphen/>
            </w:r>
            <w:r w:rsidRPr="00C12FDB">
              <w:rPr>
                <w:rFonts w:cs="Arial"/>
              </w:rPr>
              <w:t>respond à la distance moyenne réelle pondérée parcourue par les colis arrivants de l</w:t>
            </w:r>
            <w:r w:rsidR="00C12FDB">
              <w:rPr>
                <w:rFonts w:cs="Arial"/>
              </w:rPr>
              <w:t>’</w:t>
            </w:r>
            <w:r w:rsidRPr="00C12FDB">
              <w:rPr>
                <w:rFonts w:cs="Arial"/>
              </w:rPr>
              <w:t>opérateur désigné</w:t>
            </w:r>
            <w:r w:rsidRPr="00C12FDB">
              <w:rPr>
                <w:rStyle w:val="Appelnotedebasdep"/>
                <w:rFonts w:cs="Arial"/>
              </w:rPr>
              <w:footnoteReference w:id="6"/>
            </w:r>
          </w:p>
          <w:p w14:paraId="4BB95A19" w14:textId="77777777" w:rsidR="004E7F60" w:rsidRPr="00C12FDB" w:rsidRDefault="004E7F60" w:rsidP="00AD7FFE">
            <w:pPr>
              <w:spacing w:before="60" w:after="60"/>
              <w:ind w:left="340" w:hanging="340"/>
              <w:jc w:val="both"/>
              <w:rPr>
                <w:rFonts w:cs="Arial"/>
              </w:rPr>
            </w:pPr>
            <w:r w:rsidRPr="00C12FDB">
              <w:rPr>
                <w:rFonts w:cs="Arial"/>
                <w:sz w:val="24"/>
              </w:rPr>
              <w:sym w:font="Wingdings" w:char="F072"/>
            </w:r>
            <w:r w:rsidRPr="00C12FDB">
              <w:rPr>
                <w:rFonts w:cs="Arial"/>
              </w:rPr>
              <w:tab/>
            </w:r>
            <w:r w:rsidRPr="005365D8">
              <w:rPr>
                <w:rFonts w:cs="Arial"/>
                <w:spacing w:val="-3"/>
              </w:rPr>
              <w:t>La tarification par zone correspond au tarif médian</w:t>
            </w:r>
            <w:r w:rsidRPr="00C12FDB">
              <w:rPr>
                <w:rFonts w:cs="Arial"/>
              </w:rPr>
              <w:t xml:space="preserve"> du système de tarifs intérieurs par zone</w:t>
            </w:r>
          </w:p>
        </w:tc>
      </w:tr>
      <w:tr w:rsidR="004E7F60" w:rsidRPr="00C12FDB" w14:paraId="412594A9"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59C6A5A3" w14:textId="77777777" w:rsidR="004E7F60" w:rsidRPr="00C12FDB" w:rsidRDefault="004E7F60" w:rsidP="0005520D">
            <w:pPr>
              <w:spacing w:before="60" w:after="60"/>
              <w:jc w:val="both"/>
              <w:rPr>
                <w:rFonts w:cs="Arial"/>
              </w:rPr>
            </w:pPr>
            <w:r w:rsidRPr="00C12FDB">
              <w:rPr>
                <w:rFonts w:cs="Arial"/>
              </w:rPr>
              <w:t>Taux de TVA ou autres taxes incluses dans le tarif</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34CD4039" w14:textId="77777777" w:rsidR="004E7F60" w:rsidRPr="00C12FDB" w:rsidRDefault="004E7F60" w:rsidP="0005520D">
            <w:pPr>
              <w:spacing w:before="60" w:after="60"/>
              <w:jc w:val="both"/>
              <w:rPr>
                <w:rFonts w:cs="Arial"/>
              </w:rPr>
            </w:pPr>
          </w:p>
        </w:tc>
      </w:tr>
      <w:tr w:rsidR="004E7F60" w:rsidRPr="00C12FDB" w14:paraId="78A86758"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59C4FBF2" w14:textId="77777777" w:rsidR="004E7F60" w:rsidRPr="00C12FDB" w:rsidRDefault="004E7F60" w:rsidP="00EA7598">
            <w:pPr>
              <w:spacing w:before="60" w:after="60"/>
              <w:jc w:val="both"/>
              <w:rPr>
                <w:rFonts w:cs="Arial"/>
              </w:rPr>
            </w:pPr>
            <w:r w:rsidRPr="00C12FDB">
              <w:rPr>
                <w:rFonts w:cs="Arial"/>
              </w:rPr>
              <w:t>Format/catégorie dans le cadre du service intérieur</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750269F9" w14:textId="77777777" w:rsidR="004E7F60" w:rsidRPr="00C12FDB" w:rsidRDefault="004E7F60" w:rsidP="0005520D">
            <w:pPr>
              <w:keepNext/>
              <w:keepLines/>
              <w:spacing w:before="60" w:after="60"/>
              <w:rPr>
                <w:rFonts w:cs="Arial"/>
              </w:rPr>
            </w:pPr>
          </w:p>
        </w:tc>
      </w:tr>
      <w:tr w:rsidR="004E7F60" w:rsidRPr="00C12FDB" w14:paraId="471BF6F4" w14:textId="77777777" w:rsidTr="00AD7FFE">
        <w:tc>
          <w:tcPr>
            <w:tcW w:w="2498" w:type="pct"/>
            <w:tcBorders>
              <w:top w:val="single" w:sz="4" w:space="0" w:color="auto"/>
              <w:left w:val="single" w:sz="4" w:space="0" w:color="auto"/>
              <w:right w:val="single" w:sz="4" w:space="0" w:color="auto"/>
            </w:tcBorders>
            <w:shd w:val="clear" w:color="auto" w:fill="auto"/>
          </w:tcPr>
          <w:p w14:paraId="6F919EC4" w14:textId="78594ED9" w:rsidR="004E7F60" w:rsidRPr="00C12FDB" w:rsidRDefault="004E7F60" w:rsidP="0005520D">
            <w:pPr>
              <w:spacing w:before="60" w:after="60"/>
              <w:jc w:val="both"/>
              <w:rPr>
                <w:rFonts w:cs="Arial"/>
              </w:rPr>
            </w:pPr>
            <w:r w:rsidRPr="00C12FDB">
              <w:rPr>
                <w:rFonts w:cs="Arial"/>
              </w:rPr>
              <w:t>Veuillez indiquer si l</w:t>
            </w:r>
            <w:r w:rsidR="00C12FDB">
              <w:rPr>
                <w:rFonts w:cs="Arial"/>
              </w:rPr>
              <w:t>’</w:t>
            </w:r>
            <w:r w:rsidRPr="00C12FDB">
              <w:rPr>
                <w:rFonts w:cs="Arial"/>
              </w:rPr>
              <w:t>élément de service de preuve de distribution est compris dans le service de base</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4084B286" w14:textId="457DB8B5" w:rsidR="004E7F60" w:rsidRPr="00C12FDB" w:rsidRDefault="004E7F60" w:rsidP="00AD7FFE">
            <w:pPr>
              <w:spacing w:before="60" w:after="60"/>
              <w:ind w:left="340" w:hanging="340"/>
              <w:jc w:val="both"/>
              <w:rPr>
                <w:rFonts w:cs="Arial"/>
              </w:rPr>
            </w:pPr>
            <w:r w:rsidRPr="00C12FDB">
              <w:rPr>
                <w:rFonts w:cs="Arial"/>
                <w:sz w:val="24"/>
              </w:rPr>
              <w:sym w:font="Wingdings" w:char="F072"/>
            </w:r>
            <w:r w:rsidR="004B3B07">
              <w:rPr>
                <w:rFonts w:cs="Arial"/>
                <w:sz w:val="24"/>
              </w:rPr>
              <w:tab/>
            </w:r>
            <w:r w:rsidRPr="00C12FDB">
              <w:rPr>
                <w:rFonts w:cs="Arial"/>
              </w:rPr>
              <w:t>Oui</w:t>
            </w:r>
          </w:p>
          <w:p w14:paraId="3DC1991E" w14:textId="0323E228" w:rsidR="004E7F60" w:rsidRPr="00C12FDB" w:rsidRDefault="004E7F60" w:rsidP="00AD7FFE">
            <w:pPr>
              <w:spacing w:before="60" w:after="60"/>
              <w:ind w:left="340" w:hanging="340"/>
              <w:jc w:val="both"/>
              <w:rPr>
                <w:rFonts w:cs="Arial"/>
              </w:rPr>
            </w:pPr>
            <w:r w:rsidRPr="00C12FDB">
              <w:rPr>
                <w:rFonts w:cs="Arial"/>
                <w:sz w:val="24"/>
              </w:rPr>
              <w:sym w:font="Wingdings" w:char="F072"/>
            </w:r>
            <w:r w:rsidR="004B3B07">
              <w:rPr>
                <w:rFonts w:cs="Arial"/>
                <w:sz w:val="24"/>
              </w:rPr>
              <w:tab/>
            </w:r>
            <w:r w:rsidRPr="00C12FDB">
              <w:rPr>
                <w:rFonts w:cs="Arial"/>
              </w:rPr>
              <w:t>Non</w:t>
            </w:r>
          </w:p>
        </w:tc>
      </w:tr>
      <w:tr w:rsidR="004E7F60" w:rsidRPr="00C12FDB" w14:paraId="6FE6113B"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16DDCD6E" w14:textId="77777777" w:rsidR="004E7F60" w:rsidRPr="00C12FDB" w:rsidRDefault="004E7F60" w:rsidP="004B3B07">
            <w:pPr>
              <w:spacing w:before="60" w:after="60"/>
              <w:jc w:val="both"/>
              <w:rPr>
                <w:rFonts w:cs="Arial"/>
              </w:rPr>
            </w:pPr>
            <w:r w:rsidRPr="00C12FDB">
              <w:rPr>
                <w:rFonts w:cs="Arial"/>
              </w:rPr>
              <w:t>Site Web sur lequel ces informations peuvent être consultées</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561E9FD2" w14:textId="77777777" w:rsidR="004E7F60" w:rsidRPr="00C12FDB" w:rsidRDefault="004E7F60" w:rsidP="0005520D">
            <w:pPr>
              <w:spacing w:before="60" w:after="60"/>
              <w:rPr>
                <w:rFonts w:cs="Arial"/>
              </w:rPr>
            </w:pPr>
          </w:p>
        </w:tc>
      </w:tr>
    </w:tbl>
    <w:p w14:paraId="682FEB62" w14:textId="77777777" w:rsidR="004E7F60" w:rsidRPr="004B3B07" w:rsidRDefault="004E7F60" w:rsidP="004B3B07">
      <w:pPr>
        <w:pStyle w:val="0Textedebase"/>
        <w:spacing w:line="220" w:lineRule="atLeast"/>
        <w:rPr>
          <w:rFonts w:cs="Arial"/>
        </w:rPr>
      </w:pPr>
    </w:p>
    <w:p w14:paraId="41018957" w14:textId="77777777" w:rsidR="009413EC" w:rsidRDefault="009413EC">
      <w:pPr>
        <w:spacing w:line="240" w:lineRule="auto"/>
        <w:rPr>
          <w:rFonts w:cs="Arial"/>
          <w:i/>
        </w:rPr>
      </w:pPr>
      <w:r>
        <w:rPr>
          <w:rFonts w:cs="Arial"/>
          <w:i/>
        </w:rPr>
        <w:br w:type="page"/>
      </w:r>
    </w:p>
    <w:p w14:paraId="1165FE9F" w14:textId="294B18C2" w:rsidR="004E7F60" w:rsidRPr="00C12FDB" w:rsidRDefault="004E7F60" w:rsidP="004B3B07">
      <w:pPr>
        <w:spacing w:line="240" w:lineRule="auto"/>
        <w:jc w:val="both"/>
        <w:rPr>
          <w:rFonts w:cs="Arial"/>
          <w:i/>
          <w:iCs/>
        </w:rPr>
      </w:pPr>
      <w:r w:rsidRPr="00C12FDB">
        <w:rPr>
          <w:rFonts w:cs="Arial"/>
          <w:i/>
        </w:rPr>
        <w:lastRenderedPageBreak/>
        <w:t xml:space="preserve">Tableau 8 – Tarif intérieur pour un colis de 5 kilogrammes dans le cadre du régime intérieur, à compter du </w:t>
      </w:r>
      <w:r w:rsidR="004B3B07">
        <w:rPr>
          <w:rFonts w:cs="Arial"/>
          <w:i/>
        </w:rPr>
        <w:br/>
      </w:r>
      <w:r w:rsidRPr="00C12FDB">
        <w:rPr>
          <w:rFonts w:cs="Arial"/>
          <w:i/>
        </w:rPr>
        <w:t>1</w:t>
      </w:r>
      <w:r w:rsidRPr="00C12FDB">
        <w:rPr>
          <w:rFonts w:cs="Arial"/>
          <w:i/>
          <w:vertAlign w:val="superscript"/>
        </w:rPr>
        <w:t>er</w:t>
      </w:r>
      <w:r w:rsidRPr="00C12FDB">
        <w:rPr>
          <w:rFonts w:cs="Arial"/>
          <w:i/>
        </w:rPr>
        <w:t xml:space="preserve"> mai 2026</w:t>
      </w:r>
    </w:p>
    <w:p w14:paraId="10E5E272" w14:textId="77777777" w:rsidR="004E7F60" w:rsidRPr="004B3B07" w:rsidRDefault="004E7F60" w:rsidP="004E7F60">
      <w:pPr>
        <w:pStyle w:val="0Textedebase"/>
        <w:spacing w:line="220" w:lineRule="atLeas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8"/>
      </w:tblGrid>
      <w:tr w:rsidR="004E7F60" w:rsidRPr="00C12FDB" w14:paraId="5DA58F2C" w14:textId="77777777" w:rsidTr="00AD7FFE">
        <w:tc>
          <w:tcPr>
            <w:tcW w:w="2498" w:type="pct"/>
            <w:shd w:val="clear" w:color="auto" w:fill="auto"/>
          </w:tcPr>
          <w:p w14:paraId="5E2CEA3B" w14:textId="77777777" w:rsidR="004E7F60" w:rsidRPr="00C12FDB" w:rsidRDefault="004E7F60" w:rsidP="0005520D">
            <w:pPr>
              <w:spacing w:before="60" w:after="60"/>
              <w:jc w:val="both"/>
              <w:rPr>
                <w:rFonts w:cs="Arial"/>
              </w:rPr>
            </w:pPr>
            <w:r w:rsidRPr="00C12FDB">
              <w:rPr>
                <w:rFonts w:cs="Arial"/>
              </w:rPr>
              <w:t>Taux sans tarification par zone (en devise locale)</w:t>
            </w:r>
          </w:p>
        </w:tc>
        <w:tc>
          <w:tcPr>
            <w:tcW w:w="2502" w:type="pct"/>
            <w:shd w:val="clear" w:color="auto" w:fill="auto"/>
          </w:tcPr>
          <w:p w14:paraId="7C22C9D3" w14:textId="77777777" w:rsidR="004E7F60" w:rsidRPr="00C12FDB" w:rsidRDefault="004E7F60" w:rsidP="0005520D">
            <w:pPr>
              <w:spacing w:before="60" w:after="60"/>
              <w:jc w:val="both"/>
              <w:rPr>
                <w:rFonts w:cs="Arial"/>
              </w:rPr>
            </w:pPr>
          </w:p>
        </w:tc>
      </w:tr>
      <w:tr w:rsidR="004E7F60" w:rsidRPr="00C12FDB" w14:paraId="43ED78CE" w14:textId="77777777" w:rsidTr="00AD7FFE">
        <w:tc>
          <w:tcPr>
            <w:tcW w:w="2498" w:type="pct"/>
            <w:shd w:val="clear" w:color="auto" w:fill="auto"/>
          </w:tcPr>
          <w:p w14:paraId="33727E00" w14:textId="77777777" w:rsidR="004E7F60" w:rsidRPr="00243219" w:rsidRDefault="004E7F60" w:rsidP="0005520D">
            <w:pPr>
              <w:spacing w:before="60" w:after="60"/>
              <w:jc w:val="both"/>
              <w:rPr>
                <w:rFonts w:cs="Arial"/>
              </w:rPr>
            </w:pPr>
            <w:r w:rsidRPr="00AD7FFE">
              <w:rPr>
                <w:rFonts w:cs="Arial"/>
                <w:spacing w:val="-2"/>
              </w:rPr>
              <w:t>Taux en cas de tarification par zone (en devise locale)</w:t>
            </w:r>
          </w:p>
        </w:tc>
        <w:tc>
          <w:tcPr>
            <w:tcW w:w="2502" w:type="pct"/>
            <w:shd w:val="clear" w:color="auto" w:fill="auto"/>
          </w:tcPr>
          <w:p w14:paraId="4A5898DF" w14:textId="77777777" w:rsidR="004E7F60" w:rsidRPr="00C12FDB" w:rsidRDefault="004E7F60" w:rsidP="0005520D">
            <w:pPr>
              <w:spacing w:before="60" w:after="60"/>
              <w:jc w:val="both"/>
              <w:rPr>
                <w:rFonts w:cs="Arial"/>
              </w:rPr>
            </w:pPr>
          </w:p>
        </w:tc>
      </w:tr>
      <w:tr w:rsidR="004E7F60" w:rsidRPr="00C12FDB" w14:paraId="34C584C0"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08404FDB" w14:textId="45B1CEB6" w:rsidR="004E7F60" w:rsidRPr="00C12FDB" w:rsidRDefault="004E7F60" w:rsidP="009413EC">
            <w:pPr>
              <w:spacing w:before="60" w:after="60"/>
              <w:jc w:val="both"/>
              <w:rPr>
                <w:rFonts w:cs="Arial"/>
              </w:rPr>
            </w:pPr>
            <w:r w:rsidRPr="00C12FDB">
              <w:rPr>
                <w:rFonts w:cs="Arial"/>
              </w:rPr>
              <w:t>Si une tarification par zone s</w:t>
            </w:r>
            <w:r w:rsidR="00C12FDB">
              <w:rPr>
                <w:rFonts w:cs="Arial"/>
              </w:rPr>
              <w:t>’</w:t>
            </w:r>
            <w:r w:rsidRPr="00C12FDB">
              <w:rPr>
                <w:rFonts w:cs="Arial"/>
              </w:rPr>
              <w:t>applique, veuillez indi</w:t>
            </w:r>
            <w:r w:rsidR="004B3B07">
              <w:rPr>
                <w:rFonts w:cs="Arial"/>
              </w:rPr>
              <w:softHyphen/>
            </w:r>
            <w:r w:rsidRPr="00C12FDB">
              <w:rPr>
                <w:rFonts w:cs="Arial"/>
              </w:rPr>
              <w:t>quer la méthode utilisée pour déterminer cette tari</w:t>
            </w:r>
            <w:r w:rsidR="004B3B07">
              <w:rPr>
                <w:rFonts w:cs="Arial"/>
              </w:rPr>
              <w:softHyphen/>
            </w:r>
            <w:r w:rsidRPr="00C12FDB">
              <w:rPr>
                <w:rFonts w:cs="Arial"/>
              </w:rPr>
              <w:t>fication</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26442FF2" w14:textId="5153FB5A" w:rsidR="004E7F60" w:rsidRPr="00C12FDB" w:rsidRDefault="004E7F60" w:rsidP="005365D8">
            <w:pPr>
              <w:pageBreakBefore/>
              <w:spacing w:before="60" w:after="60"/>
              <w:ind w:left="340" w:hanging="340"/>
              <w:jc w:val="both"/>
              <w:rPr>
                <w:rFonts w:cs="Arial"/>
              </w:rPr>
            </w:pPr>
            <w:r w:rsidRPr="00C12FDB">
              <w:rPr>
                <w:rFonts w:cs="Arial"/>
                <w:sz w:val="24"/>
              </w:rPr>
              <w:sym w:font="Wingdings" w:char="F072"/>
            </w:r>
            <w:r w:rsidRPr="00C12FDB">
              <w:rPr>
                <w:rFonts w:cs="Arial"/>
                <w:sz w:val="24"/>
              </w:rPr>
              <w:tab/>
            </w:r>
            <w:r w:rsidRPr="00C12FDB">
              <w:rPr>
                <w:rFonts w:cs="Arial"/>
              </w:rPr>
              <w:t>La tarification par zone indiquée ci-dessus cor</w:t>
            </w:r>
            <w:r w:rsidR="004B3B07">
              <w:rPr>
                <w:rFonts w:cs="Arial"/>
              </w:rPr>
              <w:softHyphen/>
            </w:r>
            <w:r w:rsidRPr="00C12FDB">
              <w:rPr>
                <w:rFonts w:cs="Arial"/>
              </w:rPr>
              <w:t xml:space="preserve">respond à la distance moyenne réelle pondérée </w:t>
            </w:r>
            <w:r w:rsidRPr="004B3B07">
              <w:rPr>
                <w:rFonts w:cs="Arial"/>
                <w:spacing w:val="-2"/>
              </w:rPr>
              <w:t>parcourue</w:t>
            </w:r>
            <w:r w:rsidRPr="00C12FDB">
              <w:rPr>
                <w:rFonts w:cs="Arial"/>
              </w:rPr>
              <w:t xml:space="preserve"> par les colis arrivants de l</w:t>
            </w:r>
            <w:r w:rsidR="00C12FDB">
              <w:rPr>
                <w:rFonts w:cs="Arial"/>
              </w:rPr>
              <w:t>’</w:t>
            </w:r>
            <w:r w:rsidRPr="00C12FDB">
              <w:rPr>
                <w:rFonts w:cs="Arial"/>
              </w:rPr>
              <w:t>opérateur désigné</w:t>
            </w:r>
            <w:r w:rsidRPr="00C12FDB">
              <w:rPr>
                <w:rStyle w:val="Appelnotedebasdep"/>
                <w:rFonts w:cs="Arial"/>
              </w:rPr>
              <w:footnoteReference w:id="7"/>
            </w:r>
          </w:p>
          <w:p w14:paraId="20F010E9" w14:textId="77777777" w:rsidR="004E7F60" w:rsidRPr="00C12FDB" w:rsidRDefault="004E7F60" w:rsidP="005365D8">
            <w:pPr>
              <w:pageBreakBefore/>
              <w:spacing w:before="60" w:after="60"/>
              <w:ind w:left="340" w:hanging="340"/>
              <w:jc w:val="both"/>
              <w:rPr>
                <w:rFonts w:cs="Arial"/>
              </w:rPr>
            </w:pPr>
            <w:r w:rsidRPr="00C12FDB">
              <w:rPr>
                <w:rFonts w:cs="Arial"/>
                <w:sz w:val="24"/>
              </w:rPr>
              <w:sym w:font="Wingdings" w:char="F072"/>
            </w:r>
            <w:r w:rsidRPr="00C12FDB">
              <w:rPr>
                <w:rFonts w:cs="Arial"/>
              </w:rPr>
              <w:tab/>
            </w:r>
            <w:r w:rsidRPr="004B3B07">
              <w:rPr>
                <w:rFonts w:cs="Arial"/>
                <w:spacing w:val="-3"/>
              </w:rPr>
              <w:t>La tarification par zone correspond au tarif médian</w:t>
            </w:r>
            <w:r w:rsidRPr="00C12FDB">
              <w:rPr>
                <w:rFonts w:cs="Arial"/>
              </w:rPr>
              <w:t xml:space="preserve"> du système de tarifs intérieurs par zone</w:t>
            </w:r>
          </w:p>
        </w:tc>
      </w:tr>
      <w:tr w:rsidR="004E7F60" w:rsidRPr="00C12FDB" w14:paraId="37A43771"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188285E1" w14:textId="77777777" w:rsidR="004E7F60" w:rsidRPr="00C12FDB" w:rsidRDefault="004E7F60" w:rsidP="0005520D">
            <w:pPr>
              <w:spacing w:before="60" w:after="60"/>
              <w:jc w:val="both"/>
              <w:rPr>
                <w:rFonts w:cs="Arial"/>
              </w:rPr>
            </w:pPr>
            <w:r w:rsidRPr="00C12FDB">
              <w:rPr>
                <w:rFonts w:cs="Arial"/>
              </w:rPr>
              <w:t>Taux de TVA ou autres taxes incluses dans le tarif</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6256D131" w14:textId="77777777" w:rsidR="004E7F60" w:rsidRPr="00C12FDB" w:rsidRDefault="004E7F60" w:rsidP="0005520D">
            <w:pPr>
              <w:spacing w:before="60" w:after="60"/>
              <w:jc w:val="both"/>
              <w:rPr>
                <w:rFonts w:cs="Arial"/>
              </w:rPr>
            </w:pPr>
          </w:p>
        </w:tc>
      </w:tr>
      <w:tr w:rsidR="004E7F60" w:rsidRPr="00C12FDB" w14:paraId="5929A7EB"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31EFC072" w14:textId="77777777" w:rsidR="004E7F60" w:rsidRPr="00C12FDB" w:rsidRDefault="004E7F60" w:rsidP="00EA7598">
            <w:pPr>
              <w:spacing w:before="60" w:after="60"/>
              <w:jc w:val="both"/>
              <w:rPr>
                <w:rFonts w:cs="Arial"/>
              </w:rPr>
            </w:pPr>
            <w:r w:rsidRPr="00C12FDB">
              <w:rPr>
                <w:rFonts w:cs="Arial"/>
              </w:rPr>
              <w:t>Format/catégorie dans le cadre du service intérieur</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55B69973" w14:textId="77777777" w:rsidR="004E7F60" w:rsidRPr="00C12FDB" w:rsidRDefault="004E7F60" w:rsidP="0005520D">
            <w:pPr>
              <w:keepNext/>
              <w:keepLines/>
              <w:spacing w:before="60" w:after="60"/>
              <w:rPr>
                <w:rFonts w:cs="Arial"/>
              </w:rPr>
            </w:pPr>
          </w:p>
        </w:tc>
      </w:tr>
      <w:tr w:rsidR="004E7F60" w:rsidRPr="00C12FDB" w14:paraId="331FE268" w14:textId="77777777" w:rsidTr="00AD7FFE">
        <w:tc>
          <w:tcPr>
            <w:tcW w:w="2498" w:type="pct"/>
            <w:tcBorders>
              <w:top w:val="single" w:sz="4" w:space="0" w:color="auto"/>
              <w:left w:val="single" w:sz="4" w:space="0" w:color="auto"/>
              <w:right w:val="single" w:sz="4" w:space="0" w:color="auto"/>
            </w:tcBorders>
            <w:shd w:val="clear" w:color="auto" w:fill="auto"/>
          </w:tcPr>
          <w:p w14:paraId="2E1BC5BA" w14:textId="44B3B2F6" w:rsidR="004E7F60" w:rsidRPr="00C12FDB" w:rsidRDefault="004E7F60" w:rsidP="0005520D">
            <w:pPr>
              <w:spacing w:before="60" w:after="60"/>
              <w:jc w:val="both"/>
              <w:rPr>
                <w:rFonts w:cs="Arial"/>
              </w:rPr>
            </w:pPr>
            <w:r w:rsidRPr="00C12FDB">
              <w:rPr>
                <w:rFonts w:cs="Arial"/>
              </w:rPr>
              <w:t>Veuillez indiquer si l</w:t>
            </w:r>
            <w:r w:rsidR="00C12FDB">
              <w:rPr>
                <w:rFonts w:cs="Arial"/>
              </w:rPr>
              <w:t>’</w:t>
            </w:r>
            <w:r w:rsidRPr="00C12FDB">
              <w:rPr>
                <w:rFonts w:cs="Arial"/>
              </w:rPr>
              <w:t>élément de service de preuve de distribution est compris dans le service de base</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7A7D44DD" w14:textId="4E1A96A4" w:rsidR="004E7F60" w:rsidRPr="00C12FDB" w:rsidRDefault="004E7F60" w:rsidP="00AD7FFE">
            <w:pPr>
              <w:spacing w:before="60" w:after="60"/>
              <w:ind w:left="340" w:hanging="340"/>
              <w:jc w:val="both"/>
              <w:rPr>
                <w:rFonts w:cs="Arial"/>
              </w:rPr>
            </w:pPr>
            <w:r w:rsidRPr="00C12FDB">
              <w:rPr>
                <w:rFonts w:cs="Arial"/>
                <w:sz w:val="24"/>
              </w:rPr>
              <w:sym w:font="Wingdings" w:char="F072"/>
            </w:r>
            <w:r w:rsidR="004B3B07">
              <w:rPr>
                <w:rFonts w:cs="Arial"/>
                <w:sz w:val="24"/>
              </w:rPr>
              <w:tab/>
            </w:r>
            <w:r w:rsidRPr="00C12FDB">
              <w:rPr>
                <w:rFonts w:cs="Arial"/>
              </w:rPr>
              <w:t>Oui</w:t>
            </w:r>
          </w:p>
          <w:p w14:paraId="32C7B963" w14:textId="64E5A981" w:rsidR="004E7F60" w:rsidRPr="00C12FDB" w:rsidRDefault="004E7F60" w:rsidP="00AD7FFE">
            <w:pPr>
              <w:spacing w:before="60" w:after="60"/>
              <w:ind w:left="340" w:hanging="340"/>
              <w:jc w:val="both"/>
              <w:rPr>
                <w:rFonts w:cs="Arial"/>
              </w:rPr>
            </w:pPr>
            <w:r w:rsidRPr="00C12FDB">
              <w:rPr>
                <w:rFonts w:cs="Arial"/>
                <w:sz w:val="24"/>
              </w:rPr>
              <w:sym w:font="Wingdings" w:char="F072"/>
            </w:r>
            <w:r w:rsidR="004B3B07">
              <w:rPr>
                <w:rFonts w:cs="Arial"/>
                <w:sz w:val="24"/>
              </w:rPr>
              <w:tab/>
            </w:r>
            <w:r w:rsidRPr="00C12FDB">
              <w:rPr>
                <w:rFonts w:cs="Arial"/>
              </w:rPr>
              <w:t>Non</w:t>
            </w:r>
          </w:p>
        </w:tc>
      </w:tr>
      <w:tr w:rsidR="004E7F60" w:rsidRPr="00C12FDB" w14:paraId="14CD9D23" w14:textId="77777777" w:rsidTr="00AD7FFE">
        <w:tc>
          <w:tcPr>
            <w:tcW w:w="2498" w:type="pct"/>
            <w:tcBorders>
              <w:top w:val="single" w:sz="4" w:space="0" w:color="auto"/>
              <w:left w:val="single" w:sz="4" w:space="0" w:color="auto"/>
              <w:bottom w:val="single" w:sz="4" w:space="0" w:color="auto"/>
              <w:right w:val="single" w:sz="4" w:space="0" w:color="auto"/>
            </w:tcBorders>
            <w:shd w:val="clear" w:color="auto" w:fill="auto"/>
          </w:tcPr>
          <w:p w14:paraId="693D88A5" w14:textId="77777777" w:rsidR="004E7F60" w:rsidRPr="00C12FDB" w:rsidRDefault="004E7F60" w:rsidP="005365D8">
            <w:pPr>
              <w:spacing w:before="60" w:after="60"/>
              <w:jc w:val="both"/>
              <w:rPr>
                <w:rFonts w:cs="Arial"/>
              </w:rPr>
            </w:pPr>
            <w:r w:rsidRPr="00C12FDB">
              <w:rPr>
                <w:rFonts w:cs="Arial"/>
              </w:rPr>
              <w:t>Site Web sur lequel ces informations peuvent être consultées</w:t>
            </w:r>
          </w:p>
        </w:tc>
        <w:tc>
          <w:tcPr>
            <w:tcW w:w="2502" w:type="pct"/>
            <w:tcBorders>
              <w:top w:val="single" w:sz="4" w:space="0" w:color="auto"/>
              <w:left w:val="single" w:sz="4" w:space="0" w:color="auto"/>
              <w:bottom w:val="single" w:sz="4" w:space="0" w:color="auto"/>
              <w:right w:val="single" w:sz="4" w:space="0" w:color="auto"/>
            </w:tcBorders>
            <w:shd w:val="clear" w:color="auto" w:fill="auto"/>
          </w:tcPr>
          <w:p w14:paraId="78B00C1D" w14:textId="77777777" w:rsidR="004E7F60" w:rsidRPr="00C12FDB" w:rsidRDefault="004E7F60" w:rsidP="0005520D">
            <w:pPr>
              <w:spacing w:before="60" w:after="60"/>
              <w:rPr>
                <w:rFonts w:cs="Arial"/>
              </w:rPr>
            </w:pPr>
          </w:p>
        </w:tc>
      </w:tr>
    </w:tbl>
    <w:p w14:paraId="2F121112" w14:textId="77777777" w:rsidR="004E7F60" w:rsidRPr="00C12FDB" w:rsidRDefault="004E7F60" w:rsidP="004E7F60">
      <w:pPr>
        <w:spacing w:line="200" w:lineRule="atLeast"/>
        <w:jc w:val="both"/>
        <w:rPr>
          <w:rFonts w:cs="Arial"/>
          <w:b/>
          <w:bCs/>
        </w:rPr>
      </w:pPr>
    </w:p>
    <w:p w14:paraId="6325B2B5" w14:textId="77777777" w:rsidR="004E7F60" w:rsidRPr="00C12FDB" w:rsidRDefault="004E7F60" w:rsidP="004E7F60">
      <w:pPr>
        <w:spacing w:line="240" w:lineRule="auto"/>
        <w:rPr>
          <w:rFonts w:cs="Arial"/>
          <w:i/>
          <w:iCs/>
        </w:rPr>
      </w:pPr>
      <w:r w:rsidRPr="00C12FDB">
        <w:rPr>
          <w:rFonts w:cs="Arial"/>
          <w:i/>
        </w:rPr>
        <w:t>Tableau 9 – Tarif intérieur pour un colis de 10 kilogrammes dans le cadre du régime intérieur, à compter du 1</w:t>
      </w:r>
      <w:r w:rsidRPr="00C12FDB">
        <w:rPr>
          <w:rFonts w:cs="Arial"/>
          <w:i/>
          <w:vertAlign w:val="superscript"/>
        </w:rPr>
        <w:t>er</w:t>
      </w:r>
      <w:r w:rsidRPr="00C12FDB">
        <w:rPr>
          <w:rFonts w:cs="Arial"/>
          <w:i/>
        </w:rPr>
        <w:t xml:space="preserve"> mai 2026</w:t>
      </w:r>
    </w:p>
    <w:p w14:paraId="3845BB6C" w14:textId="77777777" w:rsidR="004E7F60" w:rsidRPr="00C12FDB" w:rsidRDefault="004E7F60" w:rsidP="004E7F60">
      <w:pPr>
        <w:pStyle w:val="0Textedebase"/>
        <w:spacing w:line="220" w:lineRule="atLeast"/>
        <w:rPr>
          <w:rFonts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4E7F60" w:rsidRPr="00C12FDB" w14:paraId="666BCE0C" w14:textId="77777777" w:rsidTr="0005520D">
        <w:tc>
          <w:tcPr>
            <w:tcW w:w="2500" w:type="pct"/>
            <w:shd w:val="clear" w:color="auto" w:fill="auto"/>
          </w:tcPr>
          <w:p w14:paraId="6633E6C3" w14:textId="77777777" w:rsidR="004E7F60" w:rsidRPr="00C12FDB" w:rsidRDefault="004E7F60" w:rsidP="0005520D">
            <w:pPr>
              <w:spacing w:before="60" w:after="60"/>
              <w:jc w:val="both"/>
              <w:rPr>
                <w:rFonts w:cs="Arial"/>
              </w:rPr>
            </w:pPr>
            <w:r w:rsidRPr="00C12FDB">
              <w:rPr>
                <w:rFonts w:cs="Arial"/>
              </w:rPr>
              <w:t>Taux sans tarification par zone (en devise locale)</w:t>
            </w:r>
          </w:p>
        </w:tc>
        <w:tc>
          <w:tcPr>
            <w:tcW w:w="2500" w:type="pct"/>
            <w:shd w:val="clear" w:color="auto" w:fill="auto"/>
          </w:tcPr>
          <w:p w14:paraId="7028C072" w14:textId="77777777" w:rsidR="004E7F60" w:rsidRPr="00C12FDB" w:rsidRDefault="004E7F60" w:rsidP="0005520D">
            <w:pPr>
              <w:spacing w:before="60" w:after="60"/>
              <w:jc w:val="both"/>
              <w:rPr>
                <w:rFonts w:cs="Arial"/>
              </w:rPr>
            </w:pPr>
          </w:p>
        </w:tc>
      </w:tr>
      <w:tr w:rsidR="004E7F60" w:rsidRPr="00C12FDB" w14:paraId="1DD706FE" w14:textId="77777777" w:rsidTr="0005520D">
        <w:tc>
          <w:tcPr>
            <w:tcW w:w="2500" w:type="pct"/>
            <w:shd w:val="clear" w:color="auto" w:fill="auto"/>
          </w:tcPr>
          <w:p w14:paraId="50CC8D48" w14:textId="77777777" w:rsidR="004E7F60" w:rsidRPr="00F33FBC" w:rsidRDefault="004E7F60" w:rsidP="0005520D">
            <w:pPr>
              <w:spacing w:before="60" w:after="60"/>
              <w:jc w:val="both"/>
              <w:rPr>
                <w:rFonts w:cs="Arial"/>
                <w:spacing w:val="-2"/>
              </w:rPr>
            </w:pPr>
            <w:r w:rsidRPr="00F33FBC">
              <w:rPr>
                <w:rFonts w:cs="Arial"/>
                <w:spacing w:val="-2"/>
              </w:rPr>
              <w:t>Taux en cas de tarification par zone (en devise locale)</w:t>
            </w:r>
          </w:p>
        </w:tc>
        <w:tc>
          <w:tcPr>
            <w:tcW w:w="2500" w:type="pct"/>
            <w:shd w:val="clear" w:color="auto" w:fill="auto"/>
          </w:tcPr>
          <w:p w14:paraId="5254E4B6" w14:textId="77777777" w:rsidR="004E7F60" w:rsidRPr="00C12FDB" w:rsidRDefault="004E7F60" w:rsidP="0005520D">
            <w:pPr>
              <w:spacing w:before="60" w:after="60"/>
              <w:jc w:val="both"/>
              <w:rPr>
                <w:rFonts w:cs="Arial"/>
              </w:rPr>
            </w:pPr>
          </w:p>
        </w:tc>
      </w:tr>
      <w:tr w:rsidR="004E7F60" w:rsidRPr="00C12FDB" w14:paraId="7DAEBC70" w14:textId="77777777" w:rsidTr="0005520D">
        <w:tc>
          <w:tcPr>
            <w:tcW w:w="2500" w:type="pct"/>
            <w:tcBorders>
              <w:top w:val="single" w:sz="4" w:space="0" w:color="auto"/>
              <w:left w:val="single" w:sz="4" w:space="0" w:color="auto"/>
              <w:bottom w:val="single" w:sz="4" w:space="0" w:color="auto"/>
              <w:right w:val="single" w:sz="4" w:space="0" w:color="auto"/>
            </w:tcBorders>
            <w:shd w:val="clear" w:color="auto" w:fill="auto"/>
          </w:tcPr>
          <w:p w14:paraId="5D33EED3" w14:textId="1DA00594" w:rsidR="004E7F60" w:rsidRPr="00C12FDB" w:rsidRDefault="004E7F60" w:rsidP="0005520D">
            <w:pPr>
              <w:spacing w:before="60" w:after="60"/>
              <w:jc w:val="both"/>
              <w:rPr>
                <w:rFonts w:cs="Arial"/>
              </w:rPr>
            </w:pPr>
            <w:r w:rsidRPr="00C12FDB">
              <w:rPr>
                <w:rFonts w:cs="Arial"/>
              </w:rPr>
              <w:t>Si une tarification par zone s</w:t>
            </w:r>
            <w:r w:rsidR="00C12FDB">
              <w:rPr>
                <w:rFonts w:cs="Arial"/>
              </w:rPr>
              <w:t>’</w:t>
            </w:r>
            <w:r w:rsidRPr="00C12FDB">
              <w:rPr>
                <w:rFonts w:cs="Arial"/>
              </w:rPr>
              <w:t>applique, veuillez indi</w:t>
            </w:r>
            <w:r w:rsidR="004B3B07">
              <w:rPr>
                <w:rFonts w:cs="Arial"/>
              </w:rPr>
              <w:softHyphen/>
            </w:r>
            <w:r w:rsidRPr="00C12FDB">
              <w:rPr>
                <w:rFonts w:cs="Arial"/>
              </w:rPr>
              <w:t>quer la méthode utilisée pour déterminer cette tari</w:t>
            </w:r>
            <w:r w:rsidR="004B3B07">
              <w:rPr>
                <w:rFonts w:cs="Arial"/>
              </w:rPr>
              <w:softHyphen/>
            </w:r>
            <w:r w:rsidRPr="00C12FDB">
              <w:rPr>
                <w:rFonts w:cs="Arial"/>
              </w:rPr>
              <w:t>fication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C5E0978" w14:textId="34272344" w:rsidR="004E7F60" w:rsidRPr="00C12FDB" w:rsidRDefault="004E7F60" w:rsidP="00AD7FFE">
            <w:pPr>
              <w:spacing w:before="60" w:after="60"/>
              <w:ind w:left="340" w:hanging="340"/>
              <w:jc w:val="both"/>
              <w:rPr>
                <w:rFonts w:cs="Arial"/>
              </w:rPr>
            </w:pPr>
            <w:r w:rsidRPr="00C12FDB">
              <w:rPr>
                <w:rFonts w:cs="Arial"/>
                <w:sz w:val="24"/>
              </w:rPr>
              <w:sym w:font="Wingdings" w:char="F072"/>
            </w:r>
            <w:r w:rsidRPr="00C12FDB">
              <w:rPr>
                <w:rFonts w:cs="Arial"/>
                <w:sz w:val="24"/>
              </w:rPr>
              <w:tab/>
            </w:r>
            <w:r w:rsidRPr="00C12FDB">
              <w:rPr>
                <w:rFonts w:cs="Arial"/>
              </w:rPr>
              <w:t>La tarification par zone indiquée ci-dessus cor</w:t>
            </w:r>
            <w:r w:rsidR="004B3B07">
              <w:rPr>
                <w:rFonts w:cs="Arial"/>
              </w:rPr>
              <w:softHyphen/>
            </w:r>
            <w:r w:rsidRPr="00C12FDB">
              <w:rPr>
                <w:rFonts w:cs="Arial"/>
              </w:rPr>
              <w:t>respond à la distance moyenne réelle pondérée parcourue par les colis arrivants de l</w:t>
            </w:r>
            <w:r w:rsidR="00C12FDB">
              <w:rPr>
                <w:rFonts w:cs="Arial"/>
              </w:rPr>
              <w:t>’</w:t>
            </w:r>
            <w:r w:rsidRPr="00C12FDB">
              <w:rPr>
                <w:rFonts w:cs="Arial"/>
              </w:rPr>
              <w:t>opérateur désigné</w:t>
            </w:r>
            <w:r w:rsidRPr="00C12FDB">
              <w:rPr>
                <w:rStyle w:val="Appelnotedebasdep"/>
                <w:rFonts w:cs="Arial"/>
              </w:rPr>
              <w:footnoteReference w:id="8"/>
            </w:r>
          </w:p>
          <w:p w14:paraId="2E9DFAE4" w14:textId="77777777" w:rsidR="004E7F60" w:rsidRPr="00C12FDB" w:rsidRDefault="004E7F60" w:rsidP="00AD7FFE">
            <w:pPr>
              <w:spacing w:before="60" w:after="60"/>
              <w:ind w:left="340" w:hanging="340"/>
              <w:jc w:val="both"/>
              <w:rPr>
                <w:rFonts w:cs="Arial"/>
              </w:rPr>
            </w:pPr>
            <w:r w:rsidRPr="00C12FDB">
              <w:rPr>
                <w:rFonts w:cs="Arial"/>
                <w:sz w:val="24"/>
              </w:rPr>
              <w:sym w:font="Wingdings" w:char="F072"/>
            </w:r>
            <w:r w:rsidRPr="00C12FDB">
              <w:rPr>
                <w:rFonts w:cs="Arial"/>
              </w:rPr>
              <w:tab/>
            </w:r>
            <w:r w:rsidRPr="005365D8">
              <w:rPr>
                <w:rFonts w:cs="Arial"/>
                <w:spacing w:val="-3"/>
              </w:rPr>
              <w:t xml:space="preserve">La tarification par zone correspond au tarif médian </w:t>
            </w:r>
            <w:r w:rsidRPr="00C12FDB">
              <w:rPr>
                <w:rFonts w:cs="Arial"/>
              </w:rPr>
              <w:t>du système de tarifs intérieurs par zone</w:t>
            </w:r>
          </w:p>
        </w:tc>
      </w:tr>
      <w:tr w:rsidR="004E7F60" w:rsidRPr="00C12FDB" w14:paraId="52E85DF9" w14:textId="77777777" w:rsidTr="0005520D">
        <w:tc>
          <w:tcPr>
            <w:tcW w:w="2500" w:type="pct"/>
            <w:tcBorders>
              <w:top w:val="single" w:sz="4" w:space="0" w:color="auto"/>
              <w:left w:val="single" w:sz="4" w:space="0" w:color="auto"/>
              <w:bottom w:val="single" w:sz="4" w:space="0" w:color="auto"/>
              <w:right w:val="single" w:sz="4" w:space="0" w:color="auto"/>
            </w:tcBorders>
            <w:shd w:val="clear" w:color="auto" w:fill="auto"/>
          </w:tcPr>
          <w:p w14:paraId="33801D0F" w14:textId="77777777" w:rsidR="004E7F60" w:rsidRPr="00C12FDB" w:rsidRDefault="004E7F60" w:rsidP="005365D8">
            <w:pPr>
              <w:spacing w:before="60" w:after="60"/>
              <w:jc w:val="both"/>
              <w:rPr>
                <w:rFonts w:cs="Arial"/>
              </w:rPr>
            </w:pPr>
            <w:r w:rsidRPr="00C12FDB">
              <w:rPr>
                <w:rFonts w:cs="Arial"/>
              </w:rPr>
              <w:t>Taux de TVA ou autres taxes incluses dans le tarif</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4E79267" w14:textId="77777777" w:rsidR="004E7F60" w:rsidRPr="00C12FDB" w:rsidRDefault="004E7F60" w:rsidP="0005520D">
            <w:pPr>
              <w:spacing w:before="60" w:after="60"/>
              <w:jc w:val="both"/>
              <w:rPr>
                <w:rFonts w:cs="Arial"/>
              </w:rPr>
            </w:pPr>
          </w:p>
        </w:tc>
      </w:tr>
      <w:tr w:rsidR="004E7F60" w:rsidRPr="00C12FDB" w14:paraId="04C938E4" w14:textId="77777777" w:rsidTr="0005520D">
        <w:tc>
          <w:tcPr>
            <w:tcW w:w="2500" w:type="pct"/>
            <w:tcBorders>
              <w:top w:val="single" w:sz="4" w:space="0" w:color="auto"/>
              <w:left w:val="single" w:sz="4" w:space="0" w:color="auto"/>
              <w:bottom w:val="single" w:sz="4" w:space="0" w:color="auto"/>
              <w:right w:val="single" w:sz="4" w:space="0" w:color="auto"/>
            </w:tcBorders>
            <w:shd w:val="clear" w:color="auto" w:fill="auto"/>
          </w:tcPr>
          <w:p w14:paraId="3769EA28" w14:textId="77777777" w:rsidR="004E7F60" w:rsidRPr="00C12FDB" w:rsidRDefault="004E7F60" w:rsidP="005365D8">
            <w:pPr>
              <w:spacing w:before="60" w:after="60"/>
              <w:jc w:val="both"/>
              <w:rPr>
                <w:rFonts w:cs="Arial"/>
              </w:rPr>
            </w:pPr>
            <w:r w:rsidRPr="00C12FDB">
              <w:rPr>
                <w:rFonts w:cs="Arial"/>
              </w:rPr>
              <w:t>Format/catégorie dans le cadre du service intérieur</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548CC0E" w14:textId="77777777" w:rsidR="004E7F60" w:rsidRPr="00C12FDB" w:rsidRDefault="004E7F60" w:rsidP="0005520D">
            <w:pPr>
              <w:keepNext/>
              <w:keepLines/>
              <w:spacing w:before="60" w:after="60"/>
              <w:rPr>
                <w:rFonts w:cs="Arial"/>
              </w:rPr>
            </w:pPr>
          </w:p>
        </w:tc>
      </w:tr>
      <w:tr w:rsidR="004E7F60" w:rsidRPr="00C12FDB" w14:paraId="7CBE4806" w14:textId="77777777" w:rsidTr="0005520D">
        <w:tc>
          <w:tcPr>
            <w:tcW w:w="2500" w:type="pct"/>
            <w:tcBorders>
              <w:top w:val="single" w:sz="4" w:space="0" w:color="auto"/>
              <w:left w:val="single" w:sz="4" w:space="0" w:color="auto"/>
              <w:right w:val="single" w:sz="4" w:space="0" w:color="auto"/>
            </w:tcBorders>
            <w:shd w:val="clear" w:color="auto" w:fill="auto"/>
          </w:tcPr>
          <w:p w14:paraId="3698236C" w14:textId="761DCAAA" w:rsidR="004E7F60" w:rsidRPr="00C12FDB" w:rsidRDefault="004E7F60" w:rsidP="005365D8">
            <w:pPr>
              <w:spacing w:before="60" w:after="60"/>
              <w:jc w:val="both"/>
              <w:rPr>
                <w:rFonts w:cs="Arial"/>
              </w:rPr>
            </w:pPr>
            <w:r w:rsidRPr="00C12FDB">
              <w:rPr>
                <w:rFonts w:cs="Arial"/>
              </w:rPr>
              <w:t>Veuillez indiquer si l</w:t>
            </w:r>
            <w:r w:rsidR="00C12FDB">
              <w:rPr>
                <w:rFonts w:cs="Arial"/>
              </w:rPr>
              <w:t>’</w:t>
            </w:r>
            <w:r w:rsidRPr="00C12FDB">
              <w:rPr>
                <w:rFonts w:cs="Arial"/>
              </w:rPr>
              <w:t>élément de service de preuve de distribution est compris dans le service de base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593C09A" w14:textId="16E28D82" w:rsidR="004E7F60" w:rsidRPr="00C12FDB" w:rsidRDefault="004E7F60" w:rsidP="00AD7FFE">
            <w:pPr>
              <w:spacing w:before="60" w:after="60"/>
              <w:ind w:left="340" w:hanging="340"/>
              <w:jc w:val="both"/>
              <w:rPr>
                <w:rFonts w:cs="Arial"/>
              </w:rPr>
            </w:pPr>
            <w:r w:rsidRPr="00C12FDB">
              <w:rPr>
                <w:rFonts w:cs="Arial"/>
                <w:sz w:val="24"/>
              </w:rPr>
              <w:sym w:font="Wingdings" w:char="F072"/>
            </w:r>
            <w:r w:rsidR="004B3B07">
              <w:rPr>
                <w:rFonts w:cs="Arial"/>
                <w:sz w:val="24"/>
              </w:rPr>
              <w:tab/>
            </w:r>
            <w:r w:rsidRPr="00C12FDB">
              <w:rPr>
                <w:rFonts w:cs="Arial"/>
              </w:rPr>
              <w:t>Oui</w:t>
            </w:r>
          </w:p>
          <w:p w14:paraId="105089AC" w14:textId="2DA58806" w:rsidR="004E7F60" w:rsidRPr="00C12FDB" w:rsidRDefault="004E7F60" w:rsidP="00AD7FFE">
            <w:pPr>
              <w:spacing w:before="60" w:after="60"/>
              <w:ind w:left="340" w:hanging="340"/>
              <w:jc w:val="both"/>
              <w:rPr>
                <w:rFonts w:cs="Arial"/>
              </w:rPr>
            </w:pPr>
            <w:r w:rsidRPr="00C12FDB">
              <w:rPr>
                <w:rFonts w:cs="Arial"/>
                <w:sz w:val="24"/>
              </w:rPr>
              <w:sym w:font="Wingdings" w:char="F072"/>
            </w:r>
            <w:r w:rsidR="004B3B07">
              <w:rPr>
                <w:rFonts w:cs="Arial"/>
                <w:sz w:val="24"/>
              </w:rPr>
              <w:tab/>
            </w:r>
            <w:r w:rsidRPr="00C12FDB">
              <w:rPr>
                <w:rFonts w:cs="Arial"/>
              </w:rPr>
              <w:t>Non</w:t>
            </w:r>
          </w:p>
        </w:tc>
      </w:tr>
      <w:tr w:rsidR="004E7F60" w:rsidRPr="00C12FDB" w14:paraId="62EB6ECF" w14:textId="77777777" w:rsidTr="0005520D">
        <w:tc>
          <w:tcPr>
            <w:tcW w:w="2500" w:type="pct"/>
            <w:tcBorders>
              <w:top w:val="single" w:sz="4" w:space="0" w:color="auto"/>
              <w:left w:val="single" w:sz="4" w:space="0" w:color="auto"/>
              <w:bottom w:val="single" w:sz="4" w:space="0" w:color="auto"/>
              <w:right w:val="single" w:sz="4" w:space="0" w:color="auto"/>
            </w:tcBorders>
            <w:shd w:val="clear" w:color="auto" w:fill="auto"/>
          </w:tcPr>
          <w:p w14:paraId="2ADE0564" w14:textId="77777777" w:rsidR="004E7F60" w:rsidRPr="00C12FDB" w:rsidRDefault="004E7F60" w:rsidP="005365D8">
            <w:pPr>
              <w:spacing w:before="60" w:after="60"/>
              <w:jc w:val="both"/>
              <w:rPr>
                <w:rFonts w:cs="Arial"/>
              </w:rPr>
            </w:pPr>
            <w:r w:rsidRPr="00C12FDB">
              <w:rPr>
                <w:rFonts w:cs="Arial"/>
              </w:rPr>
              <w:t>Site Web sur lequel ces informations peuvent être consultées</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281A6DF" w14:textId="77777777" w:rsidR="004E7F60" w:rsidRPr="00C12FDB" w:rsidRDefault="004E7F60" w:rsidP="0005520D">
            <w:pPr>
              <w:spacing w:before="60" w:after="60"/>
              <w:rPr>
                <w:rFonts w:cs="Arial"/>
              </w:rPr>
            </w:pPr>
          </w:p>
        </w:tc>
      </w:tr>
    </w:tbl>
    <w:p w14:paraId="7D06E512" w14:textId="77777777" w:rsidR="004E7F60" w:rsidRPr="004B3B07" w:rsidRDefault="004E7F60" w:rsidP="004E7F60">
      <w:pPr>
        <w:spacing w:line="200" w:lineRule="atLeast"/>
        <w:jc w:val="both"/>
        <w:rPr>
          <w:rFonts w:cs="Arial"/>
        </w:rPr>
      </w:pPr>
    </w:p>
    <w:p w14:paraId="201AA863" w14:textId="77777777" w:rsidR="009413EC" w:rsidRDefault="009413EC">
      <w:pPr>
        <w:spacing w:line="240" w:lineRule="auto"/>
        <w:rPr>
          <w:rFonts w:cs="Arial"/>
          <w:i/>
        </w:rPr>
      </w:pPr>
      <w:r>
        <w:rPr>
          <w:rFonts w:cs="Arial"/>
          <w:i/>
        </w:rPr>
        <w:br w:type="page"/>
      </w:r>
    </w:p>
    <w:p w14:paraId="0C8ED6A2" w14:textId="2D368860" w:rsidR="004E7F60" w:rsidRPr="00C12FDB" w:rsidRDefault="004E7F60" w:rsidP="004E7F60">
      <w:pPr>
        <w:spacing w:line="240" w:lineRule="auto"/>
        <w:rPr>
          <w:rFonts w:cs="Arial"/>
          <w:i/>
          <w:iCs/>
        </w:rPr>
      </w:pPr>
      <w:r w:rsidRPr="00C12FDB">
        <w:rPr>
          <w:rFonts w:cs="Arial"/>
          <w:i/>
        </w:rPr>
        <w:lastRenderedPageBreak/>
        <w:t>Tableau 10 – Tarif intérieur pour un colis de 20 kilogrammes dans le cadre du régime intérieur, à compter du 1</w:t>
      </w:r>
      <w:r w:rsidRPr="00C12FDB">
        <w:rPr>
          <w:rFonts w:cs="Arial"/>
          <w:i/>
          <w:vertAlign w:val="superscript"/>
        </w:rPr>
        <w:t>er</w:t>
      </w:r>
      <w:r w:rsidRPr="00C12FDB">
        <w:rPr>
          <w:rFonts w:cs="Arial"/>
          <w:i/>
        </w:rPr>
        <w:t xml:space="preserve"> mai 2026</w:t>
      </w:r>
    </w:p>
    <w:p w14:paraId="5ECCB853" w14:textId="77777777" w:rsidR="004E7F60" w:rsidRPr="004B3B07" w:rsidRDefault="004E7F60" w:rsidP="004E7F60">
      <w:pPr>
        <w:pStyle w:val="0Textedebase"/>
        <w:spacing w:line="220" w:lineRule="atLeas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4E7F60" w:rsidRPr="00C12FDB" w14:paraId="7D6A7550" w14:textId="77777777" w:rsidTr="0005520D">
        <w:tc>
          <w:tcPr>
            <w:tcW w:w="2500" w:type="pct"/>
            <w:shd w:val="clear" w:color="auto" w:fill="auto"/>
          </w:tcPr>
          <w:p w14:paraId="6EC8402F" w14:textId="77777777" w:rsidR="004E7F60" w:rsidRPr="00C12FDB" w:rsidRDefault="004E7F60" w:rsidP="0005520D">
            <w:pPr>
              <w:spacing w:before="60" w:after="60"/>
              <w:jc w:val="both"/>
              <w:rPr>
                <w:rFonts w:cs="Arial"/>
              </w:rPr>
            </w:pPr>
            <w:r w:rsidRPr="00C12FDB">
              <w:rPr>
                <w:rFonts w:cs="Arial"/>
              </w:rPr>
              <w:t>Taux sans tarification par zone (en devise locale)</w:t>
            </w:r>
          </w:p>
        </w:tc>
        <w:tc>
          <w:tcPr>
            <w:tcW w:w="2500" w:type="pct"/>
            <w:shd w:val="clear" w:color="auto" w:fill="auto"/>
          </w:tcPr>
          <w:p w14:paraId="13534AD4" w14:textId="77777777" w:rsidR="004E7F60" w:rsidRPr="00C12FDB" w:rsidRDefault="004E7F60" w:rsidP="0005520D">
            <w:pPr>
              <w:spacing w:before="60" w:after="60"/>
              <w:jc w:val="both"/>
              <w:rPr>
                <w:rFonts w:cs="Arial"/>
              </w:rPr>
            </w:pPr>
          </w:p>
        </w:tc>
      </w:tr>
      <w:tr w:rsidR="004E7F60" w:rsidRPr="00C12FDB" w14:paraId="7A8598B9" w14:textId="77777777" w:rsidTr="0005520D">
        <w:tc>
          <w:tcPr>
            <w:tcW w:w="2500" w:type="pct"/>
            <w:shd w:val="clear" w:color="auto" w:fill="auto"/>
          </w:tcPr>
          <w:p w14:paraId="78237725" w14:textId="77777777" w:rsidR="004E7F60" w:rsidRPr="00243219" w:rsidRDefault="004E7F60" w:rsidP="0005520D">
            <w:pPr>
              <w:spacing w:before="60" w:after="60"/>
              <w:jc w:val="both"/>
              <w:rPr>
                <w:rFonts w:cs="Arial"/>
                <w:spacing w:val="-2"/>
              </w:rPr>
            </w:pPr>
            <w:r w:rsidRPr="00243219">
              <w:rPr>
                <w:rFonts w:cs="Arial"/>
                <w:spacing w:val="-2"/>
              </w:rPr>
              <w:t>Taux en cas de tarification par zone (en devise locale)</w:t>
            </w:r>
          </w:p>
        </w:tc>
        <w:tc>
          <w:tcPr>
            <w:tcW w:w="2500" w:type="pct"/>
            <w:shd w:val="clear" w:color="auto" w:fill="auto"/>
          </w:tcPr>
          <w:p w14:paraId="039EB4AA" w14:textId="77777777" w:rsidR="004E7F60" w:rsidRPr="00C12FDB" w:rsidRDefault="004E7F60" w:rsidP="0005520D">
            <w:pPr>
              <w:spacing w:before="60" w:after="60"/>
              <w:jc w:val="both"/>
              <w:rPr>
                <w:rFonts w:cs="Arial"/>
              </w:rPr>
            </w:pPr>
          </w:p>
        </w:tc>
      </w:tr>
      <w:tr w:rsidR="004E7F60" w:rsidRPr="00C12FDB" w14:paraId="3DB2D93C" w14:textId="77777777" w:rsidTr="0005520D">
        <w:tc>
          <w:tcPr>
            <w:tcW w:w="2500" w:type="pct"/>
            <w:tcBorders>
              <w:top w:val="single" w:sz="4" w:space="0" w:color="auto"/>
              <w:left w:val="single" w:sz="4" w:space="0" w:color="auto"/>
              <w:bottom w:val="single" w:sz="4" w:space="0" w:color="auto"/>
              <w:right w:val="single" w:sz="4" w:space="0" w:color="auto"/>
            </w:tcBorders>
            <w:shd w:val="clear" w:color="auto" w:fill="auto"/>
          </w:tcPr>
          <w:p w14:paraId="7240EF89" w14:textId="6A3F6788" w:rsidR="004E7F60" w:rsidRPr="00C12FDB" w:rsidRDefault="004E7F60" w:rsidP="009413EC">
            <w:pPr>
              <w:spacing w:before="60" w:after="60"/>
              <w:jc w:val="both"/>
              <w:rPr>
                <w:rFonts w:cs="Arial"/>
              </w:rPr>
            </w:pPr>
            <w:r w:rsidRPr="00C12FDB">
              <w:rPr>
                <w:rFonts w:cs="Arial"/>
              </w:rPr>
              <w:t>Si une tarification par zone s</w:t>
            </w:r>
            <w:r w:rsidR="00C12FDB">
              <w:rPr>
                <w:rFonts w:cs="Arial"/>
              </w:rPr>
              <w:t>’</w:t>
            </w:r>
            <w:r w:rsidRPr="00C12FDB">
              <w:rPr>
                <w:rFonts w:cs="Arial"/>
              </w:rPr>
              <w:t>applique, veuillez indi</w:t>
            </w:r>
            <w:r w:rsidR="004B3B07">
              <w:rPr>
                <w:rFonts w:cs="Arial"/>
              </w:rPr>
              <w:softHyphen/>
            </w:r>
            <w:r w:rsidRPr="00C12FDB">
              <w:rPr>
                <w:rFonts w:cs="Arial"/>
              </w:rPr>
              <w:t>quer la méthode utilisée pour déterminer cette tari</w:t>
            </w:r>
            <w:r w:rsidR="004B3B07">
              <w:rPr>
                <w:rFonts w:cs="Arial"/>
              </w:rPr>
              <w:softHyphen/>
            </w:r>
            <w:r w:rsidRPr="00C12FDB">
              <w:rPr>
                <w:rFonts w:cs="Arial"/>
              </w:rPr>
              <w:t>fication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0323E33" w14:textId="4DFF3BBA" w:rsidR="004E7F60" w:rsidRPr="00C12FDB" w:rsidRDefault="004E7F60" w:rsidP="005365D8">
            <w:pPr>
              <w:pageBreakBefore/>
              <w:spacing w:before="60" w:after="60"/>
              <w:ind w:left="340" w:hanging="340"/>
              <w:jc w:val="both"/>
              <w:rPr>
                <w:rFonts w:cs="Arial"/>
              </w:rPr>
            </w:pPr>
            <w:r w:rsidRPr="00C12FDB">
              <w:rPr>
                <w:rFonts w:cs="Arial"/>
                <w:sz w:val="24"/>
              </w:rPr>
              <w:sym w:font="Wingdings" w:char="F072"/>
            </w:r>
            <w:r w:rsidRPr="00C12FDB">
              <w:rPr>
                <w:rFonts w:cs="Arial"/>
                <w:sz w:val="24"/>
              </w:rPr>
              <w:tab/>
            </w:r>
            <w:r w:rsidRPr="00C12FDB">
              <w:rPr>
                <w:rFonts w:cs="Arial"/>
              </w:rPr>
              <w:t>La tarification par zone indiquée ci-dessus cor</w:t>
            </w:r>
            <w:r w:rsidR="004B3B07">
              <w:rPr>
                <w:rFonts w:cs="Arial"/>
              </w:rPr>
              <w:softHyphen/>
            </w:r>
            <w:r w:rsidRPr="00C12FDB">
              <w:rPr>
                <w:rFonts w:cs="Arial"/>
              </w:rPr>
              <w:t>respond à la distance moyenne réelle pondérée parcourue par les colis arrivants de l</w:t>
            </w:r>
            <w:r w:rsidR="00C12FDB">
              <w:rPr>
                <w:rFonts w:cs="Arial"/>
              </w:rPr>
              <w:t>’</w:t>
            </w:r>
            <w:r w:rsidRPr="00C12FDB">
              <w:rPr>
                <w:rFonts w:cs="Arial"/>
              </w:rPr>
              <w:t>opérateur désigné</w:t>
            </w:r>
            <w:r w:rsidRPr="00C12FDB">
              <w:rPr>
                <w:rStyle w:val="Appelnotedebasdep"/>
                <w:rFonts w:cs="Arial"/>
              </w:rPr>
              <w:footnoteReference w:id="9"/>
            </w:r>
          </w:p>
          <w:p w14:paraId="628905DD" w14:textId="77777777" w:rsidR="004E7F60" w:rsidRPr="00C12FDB" w:rsidRDefault="004E7F60" w:rsidP="005365D8">
            <w:pPr>
              <w:pageBreakBefore/>
              <w:spacing w:before="60" w:after="60"/>
              <w:ind w:left="340" w:hanging="340"/>
              <w:jc w:val="both"/>
              <w:rPr>
                <w:rFonts w:cs="Arial"/>
              </w:rPr>
            </w:pPr>
            <w:r w:rsidRPr="00C12FDB">
              <w:rPr>
                <w:rFonts w:cs="Arial"/>
                <w:sz w:val="24"/>
              </w:rPr>
              <w:sym w:font="Wingdings" w:char="F072"/>
            </w:r>
            <w:r w:rsidRPr="00C12FDB">
              <w:rPr>
                <w:rFonts w:cs="Arial"/>
              </w:rPr>
              <w:tab/>
            </w:r>
            <w:r w:rsidRPr="004B3B07">
              <w:rPr>
                <w:rFonts w:cs="Arial"/>
                <w:spacing w:val="-3"/>
              </w:rPr>
              <w:t>La tarification par zone correspond au tarif médian</w:t>
            </w:r>
            <w:r w:rsidRPr="00C12FDB">
              <w:rPr>
                <w:rFonts w:cs="Arial"/>
              </w:rPr>
              <w:t xml:space="preserve"> du système de tarifs intérieurs par zone</w:t>
            </w:r>
          </w:p>
        </w:tc>
      </w:tr>
      <w:tr w:rsidR="004E7F60" w:rsidRPr="00C12FDB" w14:paraId="424384D2" w14:textId="77777777" w:rsidTr="0005520D">
        <w:tc>
          <w:tcPr>
            <w:tcW w:w="2500" w:type="pct"/>
            <w:tcBorders>
              <w:top w:val="single" w:sz="4" w:space="0" w:color="auto"/>
              <w:left w:val="single" w:sz="4" w:space="0" w:color="auto"/>
              <w:bottom w:val="single" w:sz="4" w:space="0" w:color="auto"/>
              <w:right w:val="single" w:sz="4" w:space="0" w:color="auto"/>
            </w:tcBorders>
            <w:shd w:val="clear" w:color="auto" w:fill="auto"/>
          </w:tcPr>
          <w:p w14:paraId="1144A67F" w14:textId="77777777" w:rsidR="004E7F60" w:rsidRPr="00C12FDB" w:rsidRDefault="004E7F60" w:rsidP="0005520D">
            <w:pPr>
              <w:spacing w:before="60" w:after="60"/>
              <w:jc w:val="both"/>
              <w:rPr>
                <w:rFonts w:cs="Arial"/>
              </w:rPr>
            </w:pPr>
            <w:r w:rsidRPr="00C12FDB">
              <w:rPr>
                <w:rFonts w:cs="Arial"/>
              </w:rPr>
              <w:t>Taux de TVA ou autres taxes incluses dans le tarif</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1B4057F" w14:textId="77777777" w:rsidR="004E7F60" w:rsidRPr="00C12FDB" w:rsidRDefault="004E7F60" w:rsidP="0005520D">
            <w:pPr>
              <w:spacing w:before="60" w:after="60"/>
              <w:jc w:val="both"/>
              <w:rPr>
                <w:rFonts w:cs="Arial"/>
              </w:rPr>
            </w:pPr>
          </w:p>
        </w:tc>
      </w:tr>
      <w:tr w:rsidR="004E7F60" w:rsidRPr="00C12FDB" w14:paraId="51C00D94" w14:textId="77777777" w:rsidTr="0005520D">
        <w:tc>
          <w:tcPr>
            <w:tcW w:w="2500" w:type="pct"/>
            <w:tcBorders>
              <w:top w:val="single" w:sz="4" w:space="0" w:color="auto"/>
              <w:left w:val="single" w:sz="4" w:space="0" w:color="auto"/>
              <w:bottom w:val="single" w:sz="4" w:space="0" w:color="auto"/>
              <w:right w:val="single" w:sz="4" w:space="0" w:color="auto"/>
            </w:tcBorders>
            <w:shd w:val="clear" w:color="auto" w:fill="auto"/>
          </w:tcPr>
          <w:p w14:paraId="334B4228" w14:textId="77777777" w:rsidR="004E7F60" w:rsidRPr="00C12FDB" w:rsidRDefault="004E7F60" w:rsidP="0005520D">
            <w:pPr>
              <w:spacing w:before="60" w:after="60"/>
              <w:rPr>
                <w:rFonts w:cs="Arial"/>
              </w:rPr>
            </w:pPr>
            <w:r w:rsidRPr="00C12FDB">
              <w:rPr>
                <w:rFonts w:cs="Arial"/>
              </w:rPr>
              <w:t>Format/catégorie dans le cadre du service intérieur</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935D883" w14:textId="77777777" w:rsidR="004E7F60" w:rsidRPr="00C12FDB" w:rsidRDefault="004E7F60" w:rsidP="0005520D">
            <w:pPr>
              <w:keepNext/>
              <w:keepLines/>
              <w:spacing w:before="60" w:after="60"/>
              <w:rPr>
                <w:rFonts w:cs="Arial"/>
              </w:rPr>
            </w:pPr>
          </w:p>
        </w:tc>
      </w:tr>
      <w:tr w:rsidR="004E7F60" w:rsidRPr="00C12FDB" w14:paraId="1700E949" w14:textId="77777777" w:rsidTr="0005520D">
        <w:tc>
          <w:tcPr>
            <w:tcW w:w="2500" w:type="pct"/>
            <w:tcBorders>
              <w:top w:val="single" w:sz="4" w:space="0" w:color="auto"/>
              <w:left w:val="single" w:sz="4" w:space="0" w:color="auto"/>
              <w:right w:val="single" w:sz="4" w:space="0" w:color="auto"/>
            </w:tcBorders>
            <w:shd w:val="clear" w:color="auto" w:fill="auto"/>
          </w:tcPr>
          <w:p w14:paraId="4FD5C77F" w14:textId="25E752F9" w:rsidR="004E7F60" w:rsidRPr="00C12FDB" w:rsidRDefault="004E7F60" w:rsidP="0005520D">
            <w:pPr>
              <w:spacing w:before="60" w:after="60"/>
              <w:jc w:val="both"/>
              <w:rPr>
                <w:rFonts w:cs="Arial"/>
              </w:rPr>
            </w:pPr>
            <w:r w:rsidRPr="00C12FDB">
              <w:rPr>
                <w:rFonts w:cs="Arial"/>
              </w:rPr>
              <w:t>Veuillez indiquer si l</w:t>
            </w:r>
            <w:r w:rsidR="00C12FDB">
              <w:rPr>
                <w:rFonts w:cs="Arial"/>
              </w:rPr>
              <w:t>’</w:t>
            </w:r>
            <w:r w:rsidRPr="00C12FDB">
              <w:rPr>
                <w:rFonts w:cs="Arial"/>
              </w:rPr>
              <w:t>élément de service de preuve de distribution est compris dans le service de base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7534015" w14:textId="4D42C178" w:rsidR="004E7F60" w:rsidRPr="00C12FDB" w:rsidRDefault="004E7F60" w:rsidP="00AD7FFE">
            <w:pPr>
              <w:spacing w:before="60" w:after="60"/>
              <w:ind w:left="340" w:hanging="340"/>
              <w:jc w:val="both"/>
              <w:rPr>
                <w:rFonts w:cs="Arial"/>
              </w:rPr>
            </w:pPr>
            <w:r w:rsidRPr="00C12FDB">
              <w:rPr>
                <w:rFonts w:cs="Arial"/>
                <w:sz w:val="24"/>
              </w:rPr>
              <w:sym w:font="Wingdings" w:char="F072"/>
            </w:r>
            <w:r w:rsidR="004B3B07">
              <w:rPr>
                <w:rFonts w:cs="Arial"/>
                <w:sz w:val="24"/>
              </w:rPr>
              <w:tab/>
            </w:r>
            <w:r w:rsidRPr="00C12FDB">
              <w:rPr>
                <w:rFonts w:cs="Arial"/>
              </w:rPr>
              <w:t>Oui</w:t>
            </w:r>
          </w:p>
          <w:p w14:paraId="2FCE4384" w14:textId="1504EE04" w:rsidR="004E7F60" w:rsidRPr="00C12FDB" w:rsidRDefault="004E7F60" w:rsidP="00AD7FFE">
            <w:pPr>
              <w:spacing w:before="60" w:after="60"/>
              <w:ind w:left="340" w:hanging="340"/>
              <w:jc w:val="both"/>
              <w:rPr>
                <w:rFonts w:cs="Arial"/>
              </w:rPr>
            </w:pPr>
            <w:r w:rsidRPr="00C12FDB">
              <w:rPr>
                <w:rFonts w:cs="Arial"/>
                <w:sz w:val="24"/>
              </w:rPr>
              <w:sym w:font="Wingdings" w:char="F072"/>
            </w:r>
            <w:r w:rsidR="004B3B07">
              <w:rPr>
                <w:rFonts w:cs="Arial"/>
                <w:sz w:val="24"/>
              </w:rPr>
              <w:tab/>
            </w:r>
            <w:r w:rsidRPr="00C12FDB">
              <w:rPr>
                <w:rFonts w:cs="Arial"/>
              </w:rPr>
              <w:t>Non</w:t>
            </w:r>
          </w:p>
        </w:tc>
      </w:tr>
      <w:tr w:rsidR="004E7F60" w:rsidRPr="00C12FDB" w14:paraId="742CD597" w14:textId="77777777" w:rsidTr="0005520D">
        <w:tc>
          <w:tcPr>
            <w:tcW w:w="2500" w:type="pct"/>
            <w:tcBorders>
              <w:top w:val="single" w:sz="4" w:space="0" w:color="auto"/>
              <w:left w:val="single" w:sz="4" w:space="0" w:color="auto"/>
              <w:bottom w:val="single" w:sz="4" w:space="0" w:color="auto"/>
              <w:right w:val="single" w:sz="4" w:space="0" w:color="auto"/>
            </w:tcBorders>
            <w:shd w:val="clear" w:color="auto" w:fill="auto"/>
          </w:tcPr>
          <w:p w14:paraId="19025031" w14:textId="77777777" w:rsidR="004E7F60" w:rsidRPr="00C12FDB" w:rsidRDefault="004E7F60" w:rsidP="004B3B07">
            <w:pPr>
              <w:spacing w:before="60" w:after="60"/>
              <w:jc w:val="both"/>
              <w:rPr>
                <w:rFonts w:cs="Arial"/>
              </w:rPr>
            </w:pPr>
            <w:r w:rsidRPr="00C12FDB">
              <w:rPr>
                <w:rFonts w:cs="Arial"/>
              </w:rPr>
              <w:t>Site Web sur lequel ces informations peuvent être consultées</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8CB23E6" w14:textId="77777777" w:rsidR="004E7F60" w:rsidRPr="00C12FDB" w:rsidRDefault="004E7F60" w:rsidP="0005520D">
            <w:pPr>
              <w:spacing w:before="60" w:after="60"/>
              <w:rPr>
                <w:rFonts w:cs="Arial"/>
              </w:rPr>
            </w:pPr>
          </w:p>
        </w:tc>
      </w:tr>
    </w:tbl>
    <w:p w14:paraId="37C86B50" w14:textId="77777777" w:rsidR="000E77C3" w:rsidRPr="00C12FDB" w:rsidRDefault="000E77C3" w:rsidP="00BA032E">
      <w:pPr>
        <w:pStyle w:val="Textedebase"/>
        <w:rPr>
          <w:rFonts w:cs="Arial"/>
        </w:rPr>
      </w:pPr>
    </w:p>
    <w:sectPr w:rsidR="000E77C3" w:rsidRPr="00C12FDB" w:rsidSect="003118BD">
      <w:headerReference w:type="even" r:id="rId11"/>
      <w:headerReference w:type="default" r:id="rId12"/>
      <w:headerReference w:type="first" r:id="rId13"/>
      <w:footerReference w:type="first" r:id="rId14"/>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7A91" w14:textId="77777777" w:rsidR="00A95B66" w:rsidRDefault="00A95B66">
      <w:pPr>
        <w:spacing w:after="120"/>
        <w:rPr>
          <w:sz w:val="18"/>
        </w:rPr>
      </w:pPr>
      <w:r>
        <w:rPr>
          <w:sz w:val="18"/>
        </w:rPr>
        <w:t>____________</w:t>
      </w:r>
    </w:p>
  </w:endnote>
  <w:endnote w:type="continuationSeparator" w:id="0">
    <w:p w14:paraId="6FC8E451" w14:textId="77777777" w:rsidR="00A95B66" w:rsidRDefault="00A9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45 Helvetica Ligh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9AE9" w14:textId="77777777" w:rsidR="00D66419" w:rsidRDefault="00D66419" w:rsidP="00D66419">
    <w:pPr>
      <w:pStyle w:val="Pieddepag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B54E" w14:textId="77777777" w:rsidR="00A95B66" w:rsidRDefault="00A95B66" w:rsidP="009E7ADC">
      <w:pPr>
        <w:rPr>
          <w:sz w:val="18"/>
        </w:rPr>
      </w:pPr>
    </w:p>
  </w:footnote>
  <w:footnote w:type="continuationSeparator" w:id="0">
    <w:p w14:paraId="35A59B1F" w14:textId="77777777" w:rsidR="00A95B66" w:rsidRDefault="00A95B66" w:rsidP="009E7ADC"/>
  </w:footnote>
  <w:footnote w:type="continuationNotice" w:id="1">
    <w:p w14:paraId="0E8B0657" w14:textId="77777777" w:rsidR="00A95B66" w:rsidRDefault="00A95B66" w:rsidP="004E2B3B"/>
  </w:footnote>
  <w:footnote w:id="2">
    <w:p w14:paraId="7A41434D" w14:textId="77777777" w:rsidR="004E7F60" w:rsidRPr="00893A00" w:rsidRDefault="004E7F60" w:rsidP="004E7F60">
      <w:pPr>
        <w:pStyle w:val="Notedebasdepage"/>
      </w:pPr>
      <w:r>
        <w:rPr>
          <w:rStyle w:val="Appelnotedebasdep"/>
        </w:rPr>
        <w:footnoteRef/>
      </w:r>
      <w:r>
        <w:t xml:space="preserve"> Si un opérateur désigné autodéclare des taux supplémentaires pour la distribution des colis postaux dans les zones non contiguës, il est nécessaire de remplir l’outil de calcul des taux de rémunération pour les colis (www.</w:t>
      </w:r>
      <w:r w:rsidRPr="00F33FBC">
        <w:rPr>
          <w:rStyle w:val="lev"/>
          <w:b w:val="0"/>
          <w:bCs w:val="0"/>
        </w:rPr>
        <w:t>upu.int/fr/colis</w:t>
      </w:r>
      <w:r w:rsidRPr="00F33FBC">
        <w:t xml:space="preserve">) </w:t>
      </w:r>
      <w:r>
        <w:t>et de le transmettre avec la présente notification.</w:t>
      </w:r>
    </w:p>
  </w:footnote>
  <w:footnote w:id="3">
    <w:p w14:paraId="34BFE42C" w14:textId="77777777" w:rsidR="004E7F60" w:rsidRDefault="004E7F60" w:rsidP="004E7F60">
      <w:pPr>
        <w:pStyle w:val="Notedebasdepage"/>
      </w:pPr>
      <w:r>
        <w:rPr>
          <w:rStyle w:val="Appelnotedebasdep"/>
        </w:rPr>
        <w:footnoteRef/>
      </w:r>
      <w:r>
        <w:t xml:space="preserve"> Sous réserve de l’adoption par le CEP de la proposition contenue dans le document CEP C 2 2026.1–Doc 7.Annexe 44 lors de la session 2026.1 du CEP (session S1), si l’opérateur désigné choisit d’appliquer la méthode de distance moyenne pour la tarification par zone, la distance moyenne accompagnée des données justificatives doit être communiquée avant ou avec la déclaration officielle. Cette proposition devrait entrer en vigueur au 1</w:t>
      </w:r>
      <w:r>
        <w:rPr>
          <w:vertAlign w:val="superscript"/>
        </w:rPr>
        <w:t>er</w:t>
      </w:r>
      <w:r>
        <w:t xml:space="preserve"> janvier 2027 et découle des décisions du Congrès de Doubaï.</w:t>
      </w:r>
    </w:p>
  </w:footnote>
  <w:footnote w:id="4">
    <w:p w14:paraId="40A147EC" w14:textId="77777777" w:rsidR="004E7F60" w:rsidRDefault="004E7F60" w:rsidP="004E7F60">
      <w:pPr>
        <w:pStyle w:val="Notedebasdepage"/>
      </w:pPr>
      <w:r>
        <w:rPr>
          <w:rStyle w:val="Appelnotedebasdep"/>
        </w:rPr>
        <w:footnoteRef/>
      </w:r>
      <w:r>
        <w:t xml:space="preserve"> Conformément à l’article 33-201.4.4 du Règlement de la Convention, si l’opérateur désigné choisit d’appliquer la méthode de distance moyenne pour la tarification par zone, la distance moyenne accompagnée des données justificatives doit être communiquée avant ou avec la déclaration officielle. Cet article est en attente de modifications de conséquence découlant des décisions du Congrès de Doubaï et devrait entrer en vigueur au 1</w:t>
      </w:r>
      <w:r>
        <w:rPr>
          <w:vertAlign w:val="superscript"/>
        </w:rPr>
        <w:t>er</w:t>
      </w:r>
      <w:r>
        <w:t xml:space="preserve"> janvier 2027.</w:t>
      </w:r>
    </w:p>
  </w:footnote>
  <w:footnote w:id="5">
    <w:p w14:paraId="0650FDB5" w14:textId="77777777" w:rsidR="004E7F60" w:rsidRDefault="004E7F60" w:rsidP="004E7F60">
      <w:pPr>
        <w:pStyle w:val="Notedebasdepage"/>
      </w:pPr>
      <w:r>
        <w:rPr>
          <w:rStyle w:val="Appelnotedebasdep"/>
        </w:rPr>
        <w:footnoteRef/>
      </w:r>
      <w:r>
        <w:t xml:space="preserve"> Conformément à l’article 33-201.4.4 du Règlement de la Convention, si l’opérateur désigné choisit d’appliquer la méthode de distance moyenne pour la tarification par zone, la distance moyenne accompagnée des données justificatives doit être communiquée avant ou avec la déclaration officielle. Cet article est en attente de modifications de conséquence découlant des décisions du Congrès de Doubaï et devrait entrer en vigueur au 1</w:t>
      </w:r>
      <w:r>
        <w:rPr>
          <w:vertAlign w:val="superscript"/>
        </w:rPr>
        <w:t>er</w:t>
      </w:r>
      <w:r>
        <w:t xml:space="preserve"> janvier 2027.</w:t>
      </w:r>
    </w:p>
  </w:footnote>
  <w:footnote w:id="6">
    <w:p w14:paraId="6C21BB7A" w14:textId="77777777" w:rsidR="004E7F60" w:rsidRDefault="004E7F60" w:rsidP="004E7F60">
      <w:pPr>
        <w:pStyle w:val="Notedebasdepage"/>
      </w:pPr>
      <w:r>
        <w:rPr>
          <w:rStyle w:val="Appelnotedebasdep"/>
        </w:rPr>
        <w:footnoteRef/>
      </w:r>
      <w:r>
        <w:t xml:space="preserve"> Conformément à l’article 33-201.4.4 du Règlement de la Convention, si l’opérateur désigné choisit d’appliquer la méthode de distance moyenne pour la tarification par zone, la distance moyenne accompagnée des données justificatives doit être communiquée avant ou avec la déclaration officielle. Cet article est en attente de modifications de conséquence découlant des décisions du Congrès de Doubaï et devrait entrer en vigueur au 1</w:t>
      </w:r>
      <w:r>
        <w:rPr>
          <w:vertAlign w:val="superscript"/>
        </w:rPr>
        <w:t>er</w:t>
      </w:r>
      <w:r>
        <w:t xml:space="preserve"> janvier 2027.</w:t>
      </w:r>
    </w:p>
  </w:footnote>
  <w:footnote w:id="7">
    <w:p w14:paraId="65223666" w14:textId="77777777" w:rsidR="004E7F60" w:rsidRDefault="004E7F60" w:rsidP="004E7F60">
      <w:pPr>
        <w:pStyle w:val="Notedebasdepage"/>
      </w:pPr>
      <w:r>
        <w:rPr>
          <w:rStyle w:val="Appelnotedebasdep"/>
        </w:rPr>
        <w:footnoteRef/>
      </w:r>
      <w:r>
        <w:t xml:space="preserve"> Conformément à l’article 33-201.4.4 du Règlement de la Convention, si l’opérateur désigné choisit d’appliquer la méthode de distance moyenne pour la tarification par zone, la distance moyenne accompagnée des données justificatives doit être communiquée avant ou avec la déclaration officielle. Cet article est en attente de modifications de conséquence découlant des décisions du Congrès de Doubaï et devrait entrer en vigueur au 1</w:t>
      </w:r>
      <w:r>
        <w:rPr>
          <w:vertAlign w:val="superscript"/>
        </w:rPr>
        <w:t>er</w:t>
      </w:r>
      <w:r>
        <w:t xml:space="preserve"> janvier 2027.</w:t>
      </w:r>
    </w:p>
  </w:footnote>
  <w:footnote w:id="8">
    <w:p w14:paraId="6C8DC34A" w14:textId="77777777" w:rsidR="004E7F60" w:rsidRDefault="004E7F60" w:rsidP="004E7F60">
      <w:pPr>
        <w:pStyle w:val="Notedebasdepage"/>
      </w:pPr>
      <w:r>
        <w:rPr>
          <w:rStyle w:val="Appelnotedebasdep"/>
        </w:rPr>
        <w:footnoteRef/>
      </w:r>
      <w:r>
        <w:t xml:space="preserve"> Conformément à l’article 33-201.4.4 du Règlement de la Convention, si l’opérateur désigné choisit d’appliquer la méthode de distance moyenne pour la tarification par zone, la distance moyenne accompagnée des données justificatives doit être communiquée avant ou avec la déclaration officielle. Cet article est en attente de modifications de conséquence découlant des décisions du Congrès de Doubaï et devrait entrer en vigueur au 1</w:t>
      </w:r>
      <w:r>
        <w:rPr>
          <w:vertAlign w:val="superscript"/>
        </w:rPr>
        <w:t>er</w:t>
      </w:r>
      <w:r>
        <w:t xml:space="preserve"> janvier 2027.</w:t>
      </w:r>
    </w:p>
  </w:footnote>
  <w:footnote w:id="9">
    <w:p w14:paraId="1589DEBA" w14:textId="77777777" w:rsidR="004E7F60" w:rsidRDefault="004E7F60" w:rsidP="004E7F60">
      <w:pPr>
        <w:pStyle w:val="Notedebasdepage"/>
      </w:pPr>
      <w:r>
        <w:rPr>
          <w:rStyle w:val="Appelnotedebasdep"/>
        </w:rPr>
        <w:footnoteRef/>
      </w:r>
      <w:r>
        <w:t xml:space="preserve"> Conformément à l’article 33-201.4.4 du Règlement de la Convention, si l’opérateur désigné choisit d’appliquer la méthode de distance moyenne pour la tarification par zone, la distance moyenne accompagnée des données justificatives doit être communiquée avant ou avec la déclaration officielle. Cet article est en attente de modifications de conséquence découlant des décisions du Congrès de Doubaï et devrait entrer en vigueur au 1</w:t>
      </w:r>
      <w:r>
        <w:rPr>
          <w:vertAlign w:val="superscript"/>
        </w:rPr>
        <w:t>er</w:t>
      </w:r>
      <w:r>
        <w:t xml:space="preserve"> janvier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63AF" w14:textId="77777777" w:rsidR="00527FF5" w:rsidRDefault="00527FF5">
    <w:pPr>
      <w:jc w:val="center"/>
    </w:pPr>
    <w:r>
      <w:pgNum/>
    </w:r>
  </w:p>
  <w:p w14:paraId="6D7B07F0"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55C9" w14:textId="77777777" w:rsidR="00527FF5" w:rsidRDefault="00527FF5" w:rsidP="00F639BA">
    <w:pPr>
      <w:jc w:val="center"/>
    </w:pPr>
    <w:r>
      <w:pgNum/>
    </w:r>
  </w:p>
  <w:p w14:paraId="3A41C8DA"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1813EE" w14:paraId="179FB68C" w14:textId="77777777">
      <w:trPr>
        <w:trHeight w:val="1418"/>
      </w:trPr>
      <w:tc>
        <w:tcPr>
          <w:tcW w:w="3969" w:type="dxa"/>
        </w:tcPr>
        <w:p w14:paraId="4014216E" w14:textId="77777777" w:rsidR="00F87364" w:rsidRDefault="00D66509" w:rsidP="00AE0D85">
          <w:pPr>
            <w:pStyle w:val="En-tte"/>
            <w:spacing w:before="20" w:after="1180"/>
            <w:rPr>
              <w:rFonts w:ascii="45 Helvetica Light" w:hAnsi="45 Helvetica Light"/>
              <w:sz w:val="18"/>
            </w:rPr>
          </w:pPr>
          <w:r>
            <w:rPr>
              <w:rFonts w:ascii="45 Helvetica Light" w:hAnsi="45 Helvetica Light"/>
              <w:noProof/>
              <w:sz w:val="18"/>
              <w:lang w:val="fr-CH"/>
            </w:rPr>
            <w:drawing>
              <wp:inline distT="0" distB="0" distL="0" distR="0" wp14:anchorId="1F898DAE" wp14:editId="7B0D0920">
                <wp:extent cx="1752600" cy="419100"/>
                <wp:effectExtent l="0" t="0" r="0" b="0"/>
                <wp:docPr id="1" name="Image 1" descr="upu_logotype_1200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1200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p>
      </w:tc>
      <w:tc>
        <w:tcPr>
          <w:tcW w:w="5670" w:type="dxa"/>
        </w:tcPr>
        <w:p w14:paraId="4948C566" w14:textId="77777777" w:rsidR="004E7F60" w:rsidRPr="004E7F60" w:rsidRDefault="004E7F60" w:rsidP="004E7F60">
          <w:pPr>
            <w:autoSpaceDE w:val="0"/>
            <w:autoSpaceDN w:val="0"/>
            <w:adjustRightInd w:val="0"/>
            <w:jc w:val="right"/>
          </w:pPr>
          <w:r w:rsidRPr="004E7F60">
            <w:t>Annexe 1 à la lettre 0426(DPRM.PPRE.RDI)1026</w:t>
          </w:r>
        </w:p>
        <w:p w14:paraId="5F533EDE" w14:textId="07C9BD1D" w:rsidR="00F87364" w:rsidRPr="001813EE" w:rsidRDefault="004E7F60" w:rsidP="004E7F60">
          <w:pPr>
            <w:autoSpaceDE w:val="0"/>
            <w:autoSpaceDN w:val="0"/>
            <w:adjustRightInd w:val="0"/>
            <w:jc w:val="right"/>
          </w:pPr>
          <w:r w:rsidRPr="004E7F60">
            <w:t>du 26 mars 2026</w:t>
          </w:r>
        </w:p>
      </w:tc>
    </w:tr>
  </w:tbl>
  <w:p w14:paraId="652AE1EA"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6FDE3594"/>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792E75B4"/>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310D0657"/>
    <w:multiLevelType w:val="hybridMultilevel"/>
    <w:tmpl w:val="D16E0636"/>
    <w:lvl w:ilvl="0" w:tplc="B8CE624E">
      <w:numFmt w:val="bullet"/>
      <w:lvlText w:val="–"/>
      <w:lvlJc w:val="left"/>
      <w:pPr>
        <w:ind w:left="720" w:hanging="360"/>
      </w:pPr>
      <w:rPr>
        <w:rFonts w:ascii="Arial MT" w:eastAsia="Arial MT" w:hAnsi="Arial MT" w:cs="Aria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8"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9"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0"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1"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2"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13"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8"/>
  </w:num>
  <w:num w:numId="2">
    <w:abstractNumId w:val="7"/>
  </w:num>
  <w:num w:numId="3">
    <w:abstractNumId w:val="5"/>
  </w:num>
  <w:num w:numId="4">
    <w:abstractNumId w:val="4"/>
  </w:num>
  <w:num w:numId="5">
    <w:abstractNumId w:val="9"/>
  </w:num>
  <w:num w:numId="6">
    <w:abstractNumId w:val="14"/>
  </w:num>
  <w:num w:numId="7">
    <w:abstractNumId w:val="15"/>
  </w:num>
  <w:num w:numId="8">
    <w:abstractNumId w:val="3"/>
  </w:num>
  <w:num w:numId="9">
    <w:abstractNumId w:val="1"/>
  </w:num>
  <w:num w:numId="10">
    <w:abstractNumId w:val="11"/>
  </w:num>
  <w:num w:numId="11">
    <w:abstractNumId w:val="10"/>
  </w:num>
  <w:num w:numId="12">
    <w:abstractNumId w:val="13"/>
  </w:num>
  <w:num w:numId="13">
    <w:abstractNumId w:val="0"/>
  </w:num>
  <w:num w:numId="14">
    <w:abstractNumId w:val="12"/>
  </w:num>
  <w:num w:numId="15">
    <w:abstractNumId w:val="2"/>
  </w:num>
  <w:num w:numId="16">
    <w:abstractNumId w:val="12"/>
  </w:num>
  <w:num w:numId="17">
    <w:abstractNumId w:val="0"/>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fill="f" fillcolor="white" stroke="f">
      <v:fill color="white" on="f"/>
      <v:stroke on="f"/>
    </o:shapedefaults>
  </w:hdrShapeDefaults>
  <w:footnotePr>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66"/>
    <w:rsid w:val="000021DD"/>
    <w:rsid w:val="00004D2B"/>
    <w:rsid w:val="0002298F"/>
    <w:rsid w:val="00023669"/>
    <w:rsid w:val="00026EC5"/>
    <w:rsid w:val="000465C9"/>
    <w:rsid w:val="000B24C3"/>
    <w:rsid w:val="000D1BB1"/>
    <w:rsid w:val="000E0AB2"/>
    <w:rsid w:val="000E77C3"/>
    <w:rsid w:val="001006F4"/>
    <w:rsid w:val="00104F21"/>
    <w:rsid w:val="0011269C"/>
    <w:rsid w:val="00121A6F"/>
    <w:rsid w:val="001567C5"/>
    <w:rsid w:val="00161F92"/>
    <w:rsid w:val="0016521C"/>
    <w:rsid w:val="0017006D"/>
    <w:rsid w:val="00172757"/>
    <w:rsid w:val="001813EE"/>
    <w:rsid w:val="001A4314"/>
    <w:rsid w:val="00232DCA"/>
    <w:rsid w:val="00243219"/>
    <w:rsid w:val="00261EAE"/>
    <w:rsid w:val="0026706D"/>
    <w:rsid w:val="00272937"/>
    <w:rsid w:val="00282124"/>
    <w:rsid w:val="0029168C"/>
    <w:rsid w:val="002A3142"/>
    <w:rsid w:val="002A663B"/>
    <w:rsid w:val="002B1B7A"/>
    <w:rsid w:val="002B2A67"/>
    <w:rsid w:val="002B66E8"/>
    <w:rsid w:val="002C3576"/>
    <w:rsid w:val="002F7773"/>
    <w:rsid w:val="003002DC"/>
    <w:rsid w:val="003104EA"/>
    <w:rsid w:val="003118BD"/>
    <w:rsid w:val="00325076"/>
    <w:rsid w:val="00325132"/>
    <w:rsid w:val="00331C6E"/>
    <w:rsid w:val="003405FB"/>
    <w:rsid w:val="003407BC"/>
    <w:rsid w:val="00342CD6"/>
    <w:rsid w:val="00343FF6"/>
    <w:rsid w:val="00355163"/>
    <w:rsid w:val="00361DE6"/>
    <w:rsid w:val="00372B67"/>
    <w:rsid w:val="0037420A"/>
    <w:rsid w:val="003750AE"/>
    <w:rsid w:val="00376861"/>
    <w:rsid w:val="003B1F46"/>
    <w:rsid w:val="00422F57"/>
    <w:rsid w:val="0046077D"/>
    <w:rsid w:val="004611D5"/>
    <w:rsid w:val="00471CE5"/>
    <w:rsid w:val="004A31FB"/>
    <w:rsid w:val="004A6F3C"/>
    <w:rsid w:val="004B3B07"/>
    <w:rsid w:val="004C4EBF"/>
    <w:rsid w:val="004C6BEE"/>
    <w:rsid w:val="004D03CA"/>
    <w:rsid w:val="004D221E"/>
    <w:rsid w:val="004D2DA6"/>
    <w:rsid w:val="004E05F3"/>
    <w:rsid w:val="004E1F28"/>
    <w:rsid w:val="004E2B3B"/>
    <w:rsid w:val="004E63E4"/>
    <w:rsid w:val="004E7F60"/>
    <w:rsid w:val="0051701F"/>
    <w:rsid w:val="00527FF5"/>
    <w:rsid w:val="005345AF"/>
    <w:rsid w:val="005365D8"/>
    <w:rsid w:val="00565476"/>
    <w:rsid w:val="00570EDB"/>
    <w:rsid w:val="005749CB"/>
    <w:rsid w:val="00577828"/>
    <w:rsid w:val="00590BBB"/>
    <w:rsid w:val="00593514"/>
    <w:rsid w:val="005A1FD5"/>
    <w:rsid w:val="005B20C7"/>
    <w:rsid w:val="005C2838"/>
    <w:rsid w:val="005D36DD"/>
    <w:rsid w:val="005D36F8"/>
    <w:rsid w:val="005D42D7"/>
    <w:rsid w:val="005D7F27"/>
    <w:rsid w:val="005E5DC2"/>
    <w:rsid w:val="005F0892"/>
    <w:rsid w:val="005F4A1C"/>
    <w:rsid w:val="005F7916"/>
    <w:rsid w:val="0060040B"/>
    <w:rsid w:val="00637585"/>
    <w:rsid w:val="00643F80"/>
    <w:rsid w:val="00653717"/>
    <w:rsid w:val="00653FFD"/>
    <w:rsid w:val="00654B91"/>
    <w:rsid w:val="00656A8B"/>
    <w:rsid w:val="006724B1"/>
    <w:rsid w:val="006A79AB"/>
    <w:rsid w:val="006B1882"/>
    <w:rsid w:val="006C019C"/>
    <w:rsid w:val="006C47EF"/>
    <w:rsid w:val="006D5D8D"/>
    <w:rsid w:val="006E36B1"/>
    <w:rsid w:val="00717D08"/>
    <w:rsid w:val="00756C4A"/>
    <w:rsid w:val="00757BB9"/>
    <w:rsid w:val="00761DEC"/>
    <w:rsid w:val="0076291C"/>
    <w:rsid w:val="00765B70"/>
    <w:rsid w:val="0077420D"/>
    <w:rsid w:val="00780CBD"/>
    <w:rsid w:val="00783C7C"/>
    <w:rsid w:val="007A2839"/>
    <w:rsid w:val="007B6036"/>
    <w:rsid w:val="007C679A"/>
    <w:rsid w:val="007D07CD"/>
    <w:rsid w:val="007D2933"/>
    <w:rsid w:val="007D6956"/>
    <w:rsid w:val="007E0A42"/>
    <w:rsid w:val="007F6E68"/>
    <w:rsid w:val="00857B50"/>
    <w:rsid w:val="0087570D"/>
    <w:rsid w:val="00894CD8"/>
    <w:rsid w:val="00897E26"/>
    <w:rsid w:val="008A32DA"/>
    <w:rsid w:val="008A5A68"/>
    <w:rsid w:val="008B7E25"/>
    <w:rsid w:val="008D3810"/>
    <w:rsid w:val="008E54AA"/>
    <w:rsid w:val="008E7619"/>
    <w:rsid w:val="008F12A9"/>
    <w:rsid w:val="0091074C"/>
    <w:rsid w:val="00922D3C"/>
    <w:rsid w:val="00932DC4"/>
    <w:rsid w:val="009413EC"/>
    <w:rsid w:val="009434D3"/>
    <w:rsid w:val="00953938"/>
    <w:rsid w:val="009569DE"/>
    <w:rsid w:val="00957FCD"/>
    <w:rsid w:val="00974119"/>
    <w:rsid w:val="009B449A"/>
    <w:rsid w:val="009C5BD0"/>
    <w:rsid w:val="009D77AD"/>
    <w:rsid w:val="009E4ABB"/>
    <w:rsid w:val="009E7ADC"/>
    <w:rsid w:val="009F110E"/>
    <w:rsid w:val="009F36E2"/>
    <w:rsid w:val="009F54AE"/>
    <w:rsid w:val="00A06C89"/>
    <w:rsid w:val="00A418A0"/>
    <w:rsid w:val="00A455D1"/>
    <w:rsid w:val="00A53E1E"/>
    <w:rsid w:val="00A5792F"/>
    <w:rsid w:val="00A6703E"/>
    <w:rsid w:val="00A73891"/>
    <w:rsid w:val="00A809D7"/>
    <w:rsid w:val="00A92377"/>
    <w:rsid w:val="00A95B66"/>
    <w:rsid w:val="00AA01D2"/>
    <w:rsid w:val="00AA61ED"/>
    <w:rsid w:val="00AB7653"/>
    <w:rsid w:val="00AC2359"/>
    <w:rsid w:val="00AD7FFE"/>
    <w:rsid w:val="00AE0D85"/>
    <w:rsid w:val="00AE2BF2"/>
    <w:rsid w:val="00B00E3F"/>
    <w:rsid w:val="00B010D9"/>
    <w:rsid w:val="00B11447"/>
    <w:rsid w:val="00B1711E"/>
    <w:rsid w:val="00B262DA"/>
    <w:rsid w:val="00B30CB2"/>
    <w:rsid w:val="00B40E14"/>
    <w:rsid w:val="00B458DD"/>
    <w:rsid w:val="00B7190D"/>
    <w:rsid w:val="00B838AD"/>
    <w:rsid w:val="00B86608"/>
    <w:rsid w:val="00BA032E"/>
    <w:rsid w:val="00BA404F"/>
    <w:rsid w:val="00BC0807"/>
    <w:rsid w:val="00BC1442"/>
    <w:rsid w:val="00BC4919"/>
    <w:rsid w:val="00BF2822"/>
    <w:rsid w:val="00BF2F28"/>
    <w:rsid w:val="00BF5B9E"/>
    <w:rsid w:val="00C0653D"/>
    <w:rsid w:val="00C06D24"/>
    <w:rsid w:val="00C12FDB"/>
    <w:rsid w:val="00C17350"/>
    <w:rsid w:val="00C21452"/>
    <w:rsid w:val="00C2769E"/>
    <w:rsid w:val="00C35110"/>
    <w:rsid w:val="00C402AE"/>
    <w:rsid w:val="00C74B88"/>
    <w:rsid w:val="00C903B8"/>
    <w:rsid w:val="00C91301"/>
    <w:rsid w:val="00C91C2F"/>
    <w:rsid w:val="00CA3D20"/>
    <w:rsid w:val="00CB2FA6"/>
    <w:rsid w:val="00CC0402"/>
    <w:rsid w:val="00CC3161"/>
    <w:rsid w:val="00CC7367"/>
    <w:rsid w:val="00CD03E7"/>
    <w:rsid w:val="00CE2270"/>
    <w:rsid w:val="00D154F8"/>
    <w:rsid w:val="00D3589B"/>
    <w:rsid w:val="00D35C56"/>
    <w:rsid w:val="00D50254"/>
    <w:rsid w:val="00D608B5"/>
    <w:rsid w:val="00D61B31"/>
    <w:rsid w:val="00D64064"/>
    <w:rsid w:val="00D66419"/>
    <w:rsid w:val="00D66509"/>
    <w:rsid w:val="00D73262"/>
    <w:rsid w:val="00D73A0A"/>
    <w:rsid w:val="00DA23C3"/>
    <w:rsid w:val="00DA49AB"/>
    <w:rsid w:val="00DA646A"/>
    <w:rsid w:val="00DB7EC0"/>
    <w:rsid w:val="00DC4D86"/>
    <w:rsid w:val="00E048A5"/>
    <w:rsid w:val="00E10CD5"/>
    <w:rsid w:val="00E270C8"/>
    <w:rsid w:val="00E31D00"/>
    <w:rsid w:val="00E3448B"/>
    <w:rsid w:val="00E72B05"/>
    <w:rsid w:val="00E76C5C"/>
    <w:rsid w:val="00EA7598"/>
    <w:rsid w:val="00ED183A"/>
    <w:rsid w:val="00ED63F7"/>
    <w:rsid w:val="00ED6707"/>
    <w:rsid w:val="00ED7E1E"/>
    <w:rsid w:val="00EE2A54"/>
    <w:rsid w:val="00F11A72"/>
    <w:rsid w:val="00F15EB7"/>
    <w:rsid w:val="00F33A54"/>
    <w:rsid w:val="00F33FBC"/>
    <w:rsid w:val="00F521BF"/>
    <w:rsid w:val="00F6214A"/>
    <w:rsid w:val="00F62978"/>
    <w:rsid w:val="00F639BA"/>
    <w:rsid w:val="00F848AD"/>
    <w:rsid w:val="00F87364"/>
    <w:rsid w:val="00F87A5B"/>
    <w:rsid w:val="00F963C3"/>
    <w:rsid w:val="00FA2EFC"/>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o:shapedefaults>
    <o:shapelayout v:ext="edit">
      <o:idmap v:ext="edit" data="1"/>
    </o:shapelayout>
  </w:shapeDefaults>
  <w:decimalSymbol w:val=","/>
  <w:listSeparator w:val=";"/>
  <w14:docId w14:val="06C65C4A"/>
  <w15:docId w15:val="{3E0BB523-6111-4EA3-8A19-E5E466B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F60"/>
    <w:pPr>
      <w:spacing w:line="240" w:lineRule="atLeast"/>
    </w:pPr>
    <w:rPr>
      <w:rFonts w:ascii="Arial" w:hAnsi="Arial"/>
      <w:lang w:val="fr-FR" w:eastAsia="fr-CH"/>
    </w:rPr>
  </w:style>
  <w:style w:type="paragraph" w:styleId="Titre1">
    <w:name w:val="heading 1"/>
    <w:basedOn w:val="Normal"/>
    <w:next w:val="Textedebase"/>
    <w:qFormat/>
    <w:pPr>
      <w:ind w:left="567" w:hanging="567"/>
      <w:jc w:val="both"/>
      <w:outlineLvl w:val="0"/>
    </w:pPr>
    <w:rPr>
      <w:b/>
      <w:bCs/>
    </w:rPr>
  </w:style>
  <w:style w:type="paragraph" w:styleId="Titre2">
    <w:name w:val="heading 2"/>
    <w:basedOn w:val="Normal"/>
    <w:next w:val="Textedebase"/>
    <w:qFormat/>
    <w:pPr>
      <w:ind w:left="567" w:hanging="567"/>
      <w:jc w:val="both"/>
      <w:outlineLvl w:val="1"/>
    </w:pPr>
    <w:rPr>
      <w:i/>
      <w:iCs/>
    </w:rPr>
  </w:style>
  <w:style w:type="paragraph" w:styleId="Titre3">
    <w:name w:val="heading 3"/>
    <w:basedOn w:val="Normal"/>
    <w:next w:val="Textedebase"/>
    <w:qFormat/>
    <w:pPr>
      <w:tabs>
        <w:tab w:val="left" w:pos="567"/>
      </w:tabs>
      <w:jc w:val="both"/>
      <w:outlineLvl w:val="2"/>
    </w:pPr>
  </w:style>
  <w:style w:type="paragraph" w:styleId="Titre4">
    <w:name w:val="heading 4"/>
    <w:basedOn w:val="Normal"/>
    <w:next w:val="Normal"/>
    <w:qFormat/>
    <w:rsid w:val="008D3810"/>
    <w:pPr>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9E4ABB"/>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9E4ABB"/>
    <w:pPr>
      <w:numPr>
        <w:numId w:val="18"/>
      </w:numPr>
      <w:spacing w:before="120"/>
    </w:pPr>
  </w:style>
  <w:style w:type="paragraph" w:styleId="Notedebasdepage">
    <w:name w:val="footnote text"/>
    <w:basedOn w:val="Normal"/>
    <w:link w:val="NotedebasdepageCar"/>
    <w:uiPriority w:val="99"/>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customStyle="1" w:styleId="0Minute">
    <w:name w:val="0 Minute"/>
    <w:basedOn w:val="Normal"/>
    <w:rsid w:val="008E54AA"/>
    <w:rPr>
      <w:vanish/>
    </w:rPr>
  </w:style>
  <w:style w:type="character" w:styleId="Lienhypertexte">
    <w:name w:val="Hyperlink"/>
    <w:rsid w:val="009F110E"/>
    <w:rPr>
      <w:rFonts w:ascii="Arial" w:hAnsi="Arial"/>
      <w:color w:val="auto"/>
      <w:u w:val="none"/>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593514"/>
    <w:pPr>
      <w:autoSpaceDE w:val="0"/>
      <w:autoSpaceDN w:val="0"/>
      <w:adjustRightInd w:val="0"/>
      <w:jc w:val="both"/>
    </w:pPr>
    <w:rPr>
      <w:rFonts w:cs="Arial"/>
    </w:rPr>
  </w:style>
  <w:style w:type="paragraph" w:customStyle="1" w:styleId="0Textedebase">
    <w:name w:val="0 Texte de base"/>
    <w:basedOn w:val="Normal"/>
    <w:rsid w:val="004E7F60"/>
    <w:pPr>
      <w:jc w:val="both"/>
    </w:pPr>
  </w:style>
  <w:style w:type="paragraph" w:customStyle="1" w:styleId="1Premierretrait">
    <w:name w:val="1 Premier retrait"/>
    <w:basedOn w:val="0Textedebase"/>
    <w:rsid w:val="004E7F60"/>
    <w:pPr>
      <w:tabs>
        <w:tab w:val="num" w:pos="567"/>
      </w:tabs>
      <w:spacing w:before="120"/>
      <w:ind w:left="567" w:hanging="567"/>
    </w:pPr>
  </w:style>
  <w:style w:type="paragraph" w:customStyle="1" w:styleId="3Troisimeretrait">
    <w:name w:val="3 Troisième retrait"/>
    <w:basedOn w:val="0Textedebase"/>
    <w:rsid w:val="004E7F60"/>
    <w:pPr>
      <w:tabs>
        <w:tab w:val="num" w:pos="1701"/>
      </w:tabs>
      <w:spacing w:before="120"/>
      <w:ind w:left="1701" w:hanging="567"/>
    </w:pPr>
  </w:style>
  <w:style w:type="table" w:styleId="Grilledutableau">
    <w:name w:val="Table Grid"/>
    <w:basedOn w:val="TableauNormal"/>
    <w:rsid w:val="004E7F60"/>
    <w:rPr>
      <w:lang w:val="fr-FR"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uiPriority w:val="99"/>
    <w:semiHidden/>
    <w:rsid w:val="004E7F60"/>
    <w:rPr>
      <w:rFonts w:ascii="Arial" w:hAnsi="Arial"/>
      <w:sz w:val="18"/>
      <w:szCs w:val="18"/>
      <w:lang w:val="fr-FR" w:eastAsia="fr-CH"/>
    </w:rPr>
  </w:style>
  <w:style w:type="character" w:styleId="lev">
    <w:name w:val="Strong"/>
    <w:basedOn w:val="Policepardfaut"/>
    <w:uiPriority w:val="22"/>
    <w:qFormat/>
    <w:rsid w:val="004E7F60"/>
    <w:rPr>
      <w:b/>
      <w:bCs/>
    </w:rPr>
  </w:style>
  <w:style w:type="character" w:styleId="Mentionnonrsolue">
    <w:name w:val="Unresolved Mention"/>
    <w:basedOn w:val="Policepardfaut"/>
    <w:uiPriority w:val="99"/>
    <w:semiHidden/>
    <w:unhideWhenUsed/>
    <w:rsid w:val="00F3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skeviciusv@upu.int"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rveymonkey.com/r/DFS8SK8"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espinozav@upu.int"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Lettres-fax-circ.%20-%20Letters-Fax-%20IB%20Circ\Lettres-Letters\FR%20Modeles\FR%20Lettre%20annex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E9311738-72E0-4EA6-BD97-E31AA8289EB5}">
  <ds:schemaRefs>
    <ds:schemaRef ds:uri="http://schemas.openxmlformats.org/officeDocument/2006/bibliography"/>
  </ds:schemaRefs>
</ds:datastoreItem>
</file>

<file path=customXml/itemProps2.xml><?xml version="1.0" encoding="utf-8"?>
<ds:datastoreItem xmlns:ds="http://schemas.openxmlformats.org/officeDocument/2006/customXml" ds:itemID="{719C9347-D147-4344-BABF-59997C812AD4}"/>
</file>

<file path=customXml/itemProps3.xml><?xml version="1.0" encoding="utf-8"?>
<ds:datastoreItem xmlns:ds="http://schemas.openxmlformats.org/officeDocument/2006/customXml" ds:itemID="{A87B9CFB-6736-4EDB-9E32-64728BA614D9}"/>
</file>

<file path=customXml/itemProps4.xml><?xml version="1.0" encoding="utf-8"?>
<ds:datastoreItem xmlns:ds="http://schemas.openxmlformats.org/officeDocument/2006/customXml" ds:itemID="{74FE9F19-1E31-4921-882B-F61514B8735E}"/>
</file>

<file path=docProps/app.xml><?xml version="1.0" encoding="utf-8"?>
<Properties xmlns="http://schemas.openxmlformats.org/officeDocument/2006/extended-properties" xmlns:vt="http://schemas.openxmlformats.org/officeDocument/2006/docPropsVTypes">
  <Template>FR Lettre annexe</Template>
  <TotalTime>57</TotalTime>
  <Pages>7</Pages>
  <Words>1683</Words>
  <Characters>9389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X</vt:lpstr>
    </vt:vector>
  </TitlesOfParts>
  <Company>Union postal universelle (UPU)</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LUTHY christine</dc:creator>
  <cp:lastModifiedBy>SANSONNENS nicolas</cp:lastModifiedBy>
  <cp:revision>7</cp:revision>
  <cp:lastPrinted>2009-02-19T13:40:00Z</cp:lastPrinted>
  <dcterms:created xsi:type="dcterms:W3CDTF">2026-03-26T08:12:00Z</dcterms:created>
  <dcterms:modified xsi:type="dcterms:W3CDTF">2026-03-26T15:00:00Z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