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88EB" w14:textId="77777777" w:rsidR="004E7F60" w:rsidRPr="00C12FDB" w:rsidRDefault="004E7F60" w:rsidP="004E7F60">
      <w:pPr>
        <w:pStyle w:val="0Textedebase"/>
        <w:rPr>
          <w:rFonts w:cs="Arial"/>
          <w:b/>
          <w:bCs/>
        </w:rPr>
      </w:pPr>
      <w:r>
        <w:rPr>
          <w:b/>
        </w:rPr>
        <w:t>Notificação das tarifas internas e das taxas autodeclaradas para as encomendas postais em vigor a partir de 1 de janeiro de 2027</w:t>
      </w:r>
    </w:p>
    <w:p w14:paraId="1EE871CB" w14:textId="77777777" w:rsidR="004E7F60" w:rsidRPr="00C12FDB" w:rsidRDefault="004E7F60" w:rsidP="004E7F60">
      <w:pPr>
        <w:pStyle w:val="0Textedebase"/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7F60" w:rsidRPr="00C12FDB" w14:paraId="13E7A31A" w14:textId="77777777" w:rsidTr="0005520D">
        <w:tc>
          <w:tcPr>
            <w:tcW w:w="9628" w:type="dxa"/>
            <w:vAlign w:val="center"/>
          </w:tcPr>
          <w:p w14:paraId="56624B17" w14:textId="77777777" w:rsidR="004E7F60" w:rsidRPr="00C12FDB" w:rsidRDefault="004E7F60" w:rsidP="0005520D">
            <w:pPr>
              <w:pStyle w:val="0Textedebase"/>
              <w:spacing w:before="60" w:after="60"/>
              <w:rPr>
                <w:rFonts w:cs="Arial"/>
              </w:rPr>
            </w:pPr>
            <w:r>
              <w:t>Nota: o presente questionário deve ser preenchido e devolvido pelos operadores designados.</w:t>
            </w:r>
          </w:p>
        </w:tc>
      </w:tr>
    </w:tbl>
    <w:p w14:paraId="3868C595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2670B441" w14:textId="5980B796" w:rsidR="004E7F60" w:rsidRPr="00C12FDB" w:rsidRDefault="004E7F60" w:rsidP="004E7F60">
      <w:pPr>
        <w:jc w:val="both"/>
        <w:rPr>
          <w:rFonts w:cs="Arial"/>
        </w:rPr>
      </w:pPr>
      <w:r>
        <w:t xml:space="preserve">O presente questionário deve ser preenchido e enviado, sem carta de acompanhamento, o mais rapidamente possível, </w:t>
      </w:r>
      <w:r>
        <w:rPr>
          <w:b/>
        </w:rPr>
        <w:t>o mais tardar até 1 de maio de 2026</w:t>
      </w:r>
      <w:r>
        <w:t>, por correio eletrónico a Vytis Staskevicius (staskeviciusv@upu.int) e Virginia Espinoza (espinozav@upu.int), ou para o seguinte endereço postal:</w:t>
      </w:r>
    </w:p>
    <w:p w14:paraId="4CBFF442" w14:textId="77777777" w:rsidR="004E7F60" w:rsidRPr="00E23D7A" w:rsidRDefault="004E7F60" w:rsidP="004E7F60">
      <w:pPr>
        <w:spacing w:before="120"/>
        <w:jc w:val="both"/>
        <w:rPr>
          <w:rFonts w:cs="Arial"/>
          <w:lang w:val="fr-CH"/>
        </w:rPr>
      </w:pPr>
      <w:r w:rsidRPr="00E23D7A">
        <w:rPr>
          <w:lang w:val="fr-CH"/>
        </w:rPr>
        <w:t>Vytis Staskevicius</w:t>
      </w:r>
    </w:p>
    <w:p w14:paraId="7B0A6F39" w14:textId="77777777" w:rsidR="004E7F60" w:rsidRPr="00E23D7A" w:rsidRDefault="004E7F60" w:rsidP="004E7F60">
      <w:pPr>
        <w:jc w:val="both"/>
        <w:rPr>
          <w:rFonts w:cs="Arial"/>
          <w:lang w:val="fr-CH"/>
        </w:rPr>
      </w:pPr>
      <w:r w:rsidRPr="00E23D7A">
        <w:rPr>
          <w:lang w:val="fr-CH"/>
        </w:rPr>
        <w:t>Expert «Développement et intégration de la rémunération»</w:t>
      </w:r>
    </w:p>
    <w:p w14:paraId="5A59E972" w14:textId="073025DF" w:rsidR="004E7F60" w:rsidRPr="00E23D7A" w:rsidRDefault="004E7F60" w:rsidP="004E7F60">
      <w:pPr>
        <w:jc w:val="both"/>
        <w:rPr>
          <w:rFonts w:cs="Arial"/>
          <w:lang w:val="fr-CH"/>
        </w:rPr>
      </w:pPr>
      <w:r w:rsidRPr="00E23D7A">
        <w:rPr>
          <w:lang w:val="fr-CH"/>
        </w:rPr>
        <w:t>Bureau international de l’UPU</w:t>
      </w:r>
    </w:p>
    <w:p w14:paraId="465DB17A" w14:textId="77777777" w:rsidR="004E7F60" w:rsidRPr="00E23D7A" w:rsidRDefault="004E7F60" w:rsidP="004E7F60">
      <w:pPr>
        <w:jc w:val="both"/>
        <w:rPr>
          <w:rFonts w:cs="Arial"/>
          <w:lang w:val="fr-CH"/>
        </w:rPr>
      </w:pPr>
      <w:r w:rsidRPr="00E23D7A">
        <w:rPr>
          <w:lang w:val="fr-CH"/>
        </w:rPr>
        <w:t>3015 BERNE</w:t>
      </w:r>
    </w:p>
    <w:p w14:paraId="136E60DA" w14:textId="77777777" w:rsidR="004E7F60" w:rsidRPr="00E23D7A" w:rsidRDefault="004E7F60" w:rsidP="004E7F60">
      <w:pPr>
        <w:jc w:val="both"/>
        <w:rPr>
          <w:rFonts w:cs="Arial"/>
          <w:lang w:val="fr-CH"/>
        </w:rPr>
      </w:pPr>
      <w:r w:rsidRPr="00E23D7A">
        <w:rPr>
          <w:lang w:val="fr-CH"/>
        </w:rPr>
        <w:t>SUISSE</w:t>
      </w:r>
    </w:p>
    <w:p w14:paraId="0C864245" w14:textId="77777777" w:rsidR="004E7F60" w:rsidRPr="00E23D7A" w:rsidRDefault="004E7F60" w:rsidP="004E7F60">
      <w:pPr>
        <w:jc w:val="both"/>
        <w:rPr>
          <w:rFonts w:cs="Arial"/>
          <w:lang w:val="fr-CH"/>
        </w:rPr>
      </w:pPr>
    </w:p>
    <w:p w14:paraId="15A917F4" w14:textId="77777777" w:rsidR="004E7F60" w:rsidRPr="00C12FDB" w:rsidRDefault="004E7F60" w:rsidP="004E7F60">
      <w:pPr>
        <w:pStyle w:val="0Textedebase"/>
        <w:rPr>
          <w:rFonts w:cs="Arial"/>
          <w:bCs/>
        </w:rPr>
      </w:pPr>
      <w:r>
        <w:t xml:space="preserve">A versão eletrónica deste questionário está disponível </w:t>
      </w:r>
      <w:r w:rsidRPr="006E1515">
        <w:rPr>
          <w:i/>
          <w:iCs/>
        </w:rPr>
        <w:t>online</w:t>
      </w:r>
      <w:r>
        <w:t xml:space="preserve"> (</w:t>
      </w:r>
      <w:hyperlink r:id="rId11" w:history="1">
        <w:r>
          <w:rPr>
            <w:rStyle w:val="Lienhypertexte"/>
          </w:rPr>
          <w:t>www.surveymonkey.com/r/DFS8SK8</w:t>
        </w:r>
      </w:hyperlink>
      <w:r>
        <w:t>).</w:t>
      </w:r>
    </w:p>
    <w:p w14:paraId="130898AD" w14:textId="77777777" w:rsidR="004E7F60" w:rsidRPr="00C12FDB" w:rsidRDefault="004E7F60" w:rsidP="004E7F60">
      <w:pPr>
        <w:pStyle w:val="0Textedebase"/>
        <w:rPr>
          <w:rFonts w:cs="Arial"/>
          <w:bCs/>
        </w:rPr>
      </w:pPr>
    </w:p>
    <w:p w14:paraId="4BD5DEB1" w14:textId="1F8393CC" w:rsidR="004E7F60" w:rsidRPr="00C12FDB" w:rsidRDefault="004E7F60" w:rsidP="004E7F60">
      <w:pPr>
        <w:pStyle w:val="0Textedebase"/>
        <w:rPr>
          <w:rFonts w:cs="Arial"/>
          <w:bCs/>
        </w:rPr>
      </w:pPr>
      <w:r>
        <w:t>Convém referir que os operadores designados que submetem a sua notificação através do SurveyMonkey não precisam de enviar os formulários em formato Word por correio eletrónico.</w:t>
      </w:r>
    </w:p>
    <w:p w14:paraId="66CD0ED4" w14:textId="77777777" w:rsidR="004E7F60" w:rsidRPr="00C12FDB" w:rsidRDefault="004E7F60" w:rsidP="004E7F60">
      <w:pPr>
        <w:jc w:val="both"/>
        <w:rPr>
          <w:rFonts w:cs="Arial"/>
        </w:rPr>
      </w:pPr>
    </w:p>
    <w:p w14:paraId="63BED5BF" w14:textId="648D5F20" w:rsidR="004E7F60" w:rsidRPr="00C12FDB" w:rsidRDefault="006E1515" w:rsidP="004E7F60">
      <w:pPr>
        <w:jc w:val="both"/>
        <w:rPr>
          <w:rFonts w:cs="Arial"/>
        </w:rPr>
      </w:pPr>
      <w:r>
        <w:t>Incentivamos</w:t>
      </w:r>
      <w:r w:rsidR="004E7F60">
        <w:t xml:space="preserve"> os operadores designados a enviarem a sua notificação por correio eletrónico ou a enviarem uma cópia por correio eletrónico em caso de envio por via postal.</w:t>
      </w:r>
    </w:p>
    <w:p w14:paraId="2B1AEE75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433AD1D3" w14:textId="77777777" w:rsidR="004E7F60" w:rsidRPr="00C12FDB" w:rsidRDefault="004E7F60" w:rsidP="004E7F60">
      <w:pPr>
        <w:pStyle w:val="0Textedebase"/>
        <w:rPr>
          <w:rFonts w:cs="Arial"/>
        </w:rPr>
      </w:pPr>
      <w:r>
        <w:t>Se encontrar dificuldades durante o preenchimento do presente questionário, pode entrar em contacto com Vytis Staskevicius e Virginia Espinoza, através dos respectivos correios eletrónicos.</w:t>
      </w:r>
    </w:p>
    <w:p w14:paraId="429064E4" w14:textId="77777777" w:rsidR="004E7F60" w:rsidRPr="00C12FDB" w:rsidRDefault="004E7F60" w:rsidP="004E7F60">
      <w:pPr>
        <w:pStyle w:val="0Textedebase"/>
        <w:rPr>
          <w:rFonts w:cs="Arial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59"/>
        <w:gridCol w:w="2791"/>
        <w:gridCol w:w="2004"/>
      </w:tblGrid>
      <w:tr w:rsidR="004E7F60" w:rsidRPr="00C12FDB" w14:paraId="1AC6219E" w14:textId="77777777" w:rsidTr="0005520D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387B657B" w14:textId="77777777" w:rsidR="004E7F60" w:rsidRPr="00C12FDB" w:rsidRDefault="004E7F60" w:rsidP="0005520D">
            <w:pPr>
              <w:spacing w:line="24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Operador designado</w:t>
            </w:r>
          </w:p>
          <w:p w14:paraId="70F0F3AD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6C12570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E7F60" w:rsidRPr="00C12FDB" w14:paraId="54EE4F78" w14:textId="77777777" w:rsidTr="0005520D">
        <w:trPr>
          <w:cantSplit/>
          <w:trHeight w:val="33"/>
        </w:trPr>
        <w:tc>
          <w:tcPr>
            <w:tcW w:w="7650" w:type="dxa"/>
            <w:gridSpan w:val="2"/>
            <w:tcBorders>
              <w:right w:val="nil"/>
            </w:tcBorders>
            <w:tcMar>
              <w:top w:w="57" w:type="dxa"/>
              <w:bottom w:w="0" w:type="dxa"/>
            </w:tcMar>
          </w:tcPr>
          <w:p w14:paraId="3E045B67" w14:textId="77777777" w:rsidR="004E7F60" w:rsidRPr="00C12FDB" w:rsidRDefault="004E7F60" w:rsidP="0005520D">
            <w:pPr>
              <w:spacing w:line="240" w:lineRule="auto"/>
              <w:ind w:right="75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Nome completo</w:t>
            </w:r>
          </w:p>
          <w:p w14:paraId="48335050" w14:textId="77777777" w:rsidR="004E7F60" w:rsidRPr="00C12FDB" w:rsidRDefault="004E7F60" w:rsidP="0005520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  <w:p w14:paraId="739CFB5B" w14:textId="77777777" w:rsidR="004E7F60" w:rsidRPr="00C12FDB" w:rsidRDefault="004E7F60" w:rsidP="0005520D">
            <w:pPr>
              <w:spacing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004" w:type="dxa"/>
            <w:tcBorders>
              <w:left w:val="nil"/>
            </w:tcBorders>
            <w:tcMar>
              <w:top w:w="57" w:type="dxa"/>
            </w:tcMar>
            <w:vAlign w:val="bottom"/>
          </w:tcPr>
          <w:p w14:paraId="6863BA48" w14:textId="77777777" w:rsidR="004E7F60" w:rsidRPr="00C12FDB" w:rsidRDefault="0017583D" w:rsidP="0005520D">
            <w:pPr>
              <w:tabs>
                <w:tab w:val="left" w:pos="921"/>
              </w:tabs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990703502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E7F60" w:rsidRPr="00C12FDB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9413EC">
              <w:rPr>
                <w:sz w:val="16"/>
              </w:rPr>
              <w:t xml:space="preserve"> Sra.</w:t>
            </w:r>
            <w:r w:rsidR="009413EC">
              <w:rPr>
                <w:sz w:val="16"/>
              </w:rPr>
              <w:tab/>
            </w:r>
            <w:sdt>
              <w:sdtPr>
                <w:rPr>
                  <w:rFonts w:cs="Arial"/>
                  <w:sz w:val="24"/>
                  <w:szCs w:val="24"/>
                </w:rPr>
                <w:id w:val="-823508224"/>
                <w14:checkbox>
                  <w14:checked w14:val="0"/>
                  <w14:checkedState w14:val="0054" w14:font="Wingdings 2"/>
                  <w14:uncheckedState w14:val="0071" w14:font="Wingdings"/>
                </w14:checkbox>
              </w:sdtPr>
              <w:sdtEndPr/>
              <w:sdtContent>
                <w:r w:rsidR="004E7F60" w:rsidRPr="00C12FDB">
                  <w:rPr>
                    <w:rFonts w:cs="Arial"/>
                    <w:sz w:val="24"/>
                    <w:szCs w:val="24"/>
                  </w:rPr>
                  <w:sym w:font="Wingdings" w:char="F071"/>
                </w:r>
              </w:sdtContent>
            </w:sdt>
            <w:r w:rsidR="009413EC">
              <w:rPr>
                <w:sz w:val="16"/>
              </w:rPr>
              <w:t xml:space="preserve"> Sr.</w:t>
            </w:r>
          </w:p>
        </w:tc>
      </w:tr>
      <w:tr w:rsidR="004E7F60" w:rsidRPr="00C12FDB" w14:paraId="43860657" w14:textId="77777777" w:rsidTr="0005520D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556B9D56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Cargo/título</w:t>
            </w:r>
          </w:p>
          <w:p w14:paraId="1C7FD7EB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6F8B0685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E7F60" w:rsidRPr="00C12FDB" w14:paraId="07325E3C" w14:textId="77777777" w:rsidTr="0005520D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07AE1259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Endereço</w:t>
            </w:r>
          </w:p>
          <w:p w14:paraId="3C029289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9BC6012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ABE6542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553F8332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0098F66D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E7F60" w:rsidRPr="00C12FDB" w14:paraId="423E1A04" w14:textId="77777777" w:rsidTr="0005520D">
        <w:trPr>
          <w:cantSplit/>
          <w:trHeight w:val="192"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3255E4D6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Telefone</w:t>
            </w:r>
          </w:p>
          <w:p w14:paraId="2438BE32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2FE55B32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0CE852E3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Fax</w:t>
            </w:r>
          </w:p>
          <w:p w14:paraId="47C095C2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</w:tr>
      <w:tr w:rsidR="004E7F60" w:rsidRPr="00C12FDB" w14:paraId="3C1D85F9" w14:textId="77777777" w:rsidTr="0005520D">
        <w:trPr>
          <w:cantSplit/>
        </w:trPr>
        <w:tc>
          <w:tcPr>
            <w:tcW w:w="9654" w:type="dxa"/>
            <w:gridSpan w:val="3"/>
            <w:tcMar>
              <w:top w:w="57" w:type="dxa"/>
              <w:bottom w:w="0" w:type="dxa"/>
            </w:tcMar>
          </w:tcPr>
          <w:p w14:paraId="6378E836" w14:textId="77777777" w:rsidR="004E7F60" w:rsidRPr="00C12FDB" w:rsidRDefault="004E7F60" w:rsidP="0005520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  <w:r>
              <w:rPr>
                <w:sz w:val="16"/>
              </w:rPr>
              <w:t>Endereço eletrónico</w:t>
            </w:r>
          </w:p>
          <w:p w14:paraId="30715AE0" w14:textId="77777777" w:rsidR="004E7F60" w:rsidRPr="00C12FDB" w:rsidRDefault="004E7F60" w:rsidP="0005520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  <w:p w14:paraId="07B81580" w14:textId="77777777" w:rsidR="004E7F60" w:rsidRPr="00C12FDB" w:rsidRDefault="004E7F60" w:rsidP="0005520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  <w:tr w:rsidR="004E7F60" w:rsidRPr="00C12FDB" w14:paraId="043FF8D8" w14:textId="77777777" w:rsidTr="0005520D">
        <w:trPr>
          <w:cantSplit/>
        </w:trPr>
        <w:tc>
          <w:tcPr>
            <w:tcW w:w="4859" w:type="dxa"/>
            <w:tcMar>
              <w:top w:w="57" w:type="dxa"/>
              <w:bottom w:w="0" w:type="dxa"/>
            </w:tcMar>
          </w:tcPr>
          <w:p w14:paraId="53A97D51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Data</w:t>
            </w:r>
          </w:p>
          <w:p w14:paraId="283980CB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  <w:p w14:paraId="410EA298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</w:p>
        </w:tc>
        <w:tc>
          <w:tcPr>
            <w:tcW w:w="4795" w:type="dxa"/>
            <w:gridSpan w:val="2"/>
            <w:tcMar>
              <w:top w:w="57" w:type="dxa"/>
              <w:bottom w:w="0" w:type="dxa"/>
            </w:tcMar>
          </w:tcPr>
          <w:p w14:paraId="6980798F" w14:textId="77777777" w:rsidR="004E7F60" w:rsidRPr="00C12FDB" w:rsidRDefault="004E7F60" w:rsidP="0005520D">
            <w:pPr>
              <w:spacing w:line="240" w:lineRule="auto"/>
              <w:ind w:right="74"/>
              <w:rPr>
                <w:rFonts w:cs="Arial"/>
                <w:sz w:val="16"/>
                <w:szCs w:val="16"/>
              </w:rPr>
            </w:pPr>
            <w:r>
              <w:rPr>
                <w:sz w:val="16"/>
              </w:rPr>
              <w:t>Assinatura</w:t>
            </w:r>
          </w:p>
          <w:p w14:paraId="00C442B6" w14:textId="77777777" w:rsidR="004E7F60" w:rsidRPr="00C12FDB" w:rsidRDefault="004E7F60" w:rsidP="0005520D">
            <w:pPr>
              <w:spacing w:line="240" w:lineRule="auto"/>
              <w:ind w:right="74"/>
              <w:rPr>
                <w:rFonts w:eastAsia="SimSun" w:cs="Arial"/>
                <w:sz w:val="16"/>
                <w:szCs w:val="16"/>
              </w:rPr>
            </w:pPr>
          </w:p>
        </w:tc>
      </w:tr>
    </w:tbl>
    <w:p w14:paraId="253A16D7" w14:textId="77777777" w:rsidR="004E7F60" w:rsidRPr="00C12FDB" w:rsidRDefault="004E7F60" w:rsidP="004E7F60">
      <w:pPr>
        <w:jc w:val="both"/>
        <w:rPr>
          <w:rFonts w:cs="Arial"/>
        </w:rPr>
      </w:pPr>
    </w:p>
    <w:p w14:paraId="408B0710" w14:textId="77777777" w:rsidR="004E7F60" w:rsidRPr="00922D3C" w:rsidRDefault="004E7F60" w:rsidP="004E7F60">
      <w:pPr>
        <w:spacing w:line="240" w:lineRule="auto"/>
        <w:rPr>
          <w:rFonts w:cs="Arial"/>
        </w:rPr>
      </w:pPr>
      <w:r>
        <w:br w:type="page"/>
      </w:r>
    </w:p>
    <w:p w14:paraId="309AB9E8" w14:textId="77777777" w:rsidR="004E7F60" w:rsidRPr="00C12FDB" w:rsidRDefault="004E7F60" w:rsidP="004E7F60">
      <w:pPr>
        <w:pStyle w:val="0Textedebase"/>
        <w:rPr>
          <w:rFonts w:cs="Arial"/>
          <w:b/>
          <w:bCs/>
        </w:rPr>
      </w:pPr>
      <w:r>
        <w:rPr>
          <w:b/>
        </w:rPr>
        <w:lastRenderedPageBreak/>
        <w:t>Introdução</w:t>
      </w:r>
    </w:p>
    <w:p w14:paraId="3ADAC735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7619127E" w14:textId="787ABBF4" w:rsidR="004E7F60" w:rsidRPr="00C12FDB" w:rsidRDefault="004E7F60" w:rsidP="004E7F60">
      <w:pPr>
        <w:pStyle w:val="0Textedebase"/>
        <w:rPr>
          <w:rFonts w:cs="Arial"/>
        </w:rPr>
      </w:pPr>
      <w:r>
        <w:t>As informações abaixo são necessárias para a notificação d</w:t>
      </w:r>
      <w:r w:rsidR="006E1515">
        <w:t>e</w:t>
      </w:r>
      <w:r>
        <w:t xml:space="preserve"> taxas autodeclaradas aplicáveis às encomendas postais em vigor a partir de 1 de janeiro de 202</w:t>
      </w:r>
      <w:r w:rsidR="006E1515">
        <w:t>7</w:t>
      </w:r>
      <w:r>
        <w:t>:</w:t>
      </w:r>
    </w:p>
    <w:p w14:paraId="3AE76E99" w14:textId="727774DD" w:rsidR="004E7F60" w:rsidRPr="00C12FDB" w:rsidRDefault="004E7F60" w:rsidP="004E7F60">
      <w:pPr>
        <w:pStyle w:val="1Premierretrait"/>
        <w:numPr>
          <w:ilvl w:val="0"/>
          <w:numId w:val="13"/>
        </w:numPr>
        <w:rPr>
          <w:rFonts w:cs="Arial"/>
        </w:rPr>
      </w:pPr>
      <w:r>
        <w:t>As taxas autodeclaradas são indicadas sob a forma de uma taxa por objeto e uma taxa por quilograma na moeda local ou em DES.</w:t>
      </w:r>
    </w:p>
    <w:p w14:paraId="5B8AC31D" w14:textId="77777777" w:rsidR="004E7F60" w:rsidRPr="00C12FDB" w:rsidRDefault="004E7F60" w:rsidP="004E7F60">
      <w:pPr>
        <w:pStyle w:val="1Premierretrait"/>
        <w:numPr>
          <w:ilvl w:val="0"/>
          <w:numId w:val="13"/>
        </w:numPr>
        <w:rPr>
          <w:rFonts w:cs="Arial"/>
        </w:rPr>
      </w:pPr>
      <w:r>
        <w:t>As taxas autodeclaradas não devem exceder a receita máxima descrita na secção B da carta, nos pontos 7</w:t>
      </w:r>
      <w:r>
        <w:rPr>
          <w:vertAlign w:val="superscript"/>
        </w:rPr>
        <w:t>o</w:t>
      </w:r>
      <w:r>
        <w:t xml:space="preserve"> e 8</w:t>
      </w:r>
      <w:r>
        <w:rPr>
          <w:vertAlign w:val="superscript"/>
        </w:rPr>
        <w:t>o</w:t>
      </w:r>
      <w:r>
        <w:t xml:space="preserve"> da subsecção «Condições aplicáveis às taxas autodeclaradas».</w:t>
      </w:r>
    </w:p>
    <w:p w14:paraId="756C2013" w14:textId="6EBCF2D9" w:rsidR="004E7F60" w:rsidRPr="00C12FDB" w:rsidRDefault="004E7F60" w:rsidP="004E7F60">
      <w:pPr>
        <w:pStyle w:val="1Premierretrait"/>
        <w:numPr>
          <w:ilvl w:val="0"/>
          <w:numId w:val="19"/>
        </w:numPr>
        <w:tabs>
          <w:tab w:val="left" w:pos="540"/>
        </w:tabs>
        <w:ind w:left="630" w:hanging="630"/>
        <w:rPr>
          <w:rFonts w:cs="Arial"/>
        </w:rPr>
      </w:pPr>
      <w:r>
        <w:t xml:space="preserve">As taxas autodeclaradas devem cumprir todas as condições definidas no artigo 33 da Convenção. </w:t>
      </w:r>
    </w:p>
    <w:p w14:paraId="5017725C" w14:textId="77777777" w:rsidR="004E7F60" w:rsidRPr="00C12FDB" w:rsidRDefault="004E7F60" w:rsidP="004E7F60">
      <w:pPr>
        <w:pStyle w:val="1Premierretrait"/>
        <w:numPr>
          <w:ilvl w:val="0"/>
          <w:numId w:val="13"/>
        </w:numPr>
        <w:rPr>
          <w:rFonts w:cs="Arial"/>
        </w:rPr>
      </w:pPr>
      <w:r>
        <w:t xml:space="preserve">No que se refere às tarifas supramencionadas aplicáveis a um objeto único do serviço interno, convém especificar a taxa de IVA e outros impostos. </w:t>
      </w:r>
    </w:p>
    <w:p w14:paraId="2E8B1E32" w14:textId="4A56A42B" w:rsidR="004E7F60" w:rsidRPr="00C12FDB" w:rsidRDefault="004E7F60" w:rsidP="004E7F60">
      <w:pPr>
        <w:pStyle w:val="1Premierretrait"/>
        <w:numPr>
          <w:ilvl w:val="0"/>
          <w:numId w:val="13"/>
        </w:numPr>
        <w:rPr>
          <w:rFonts w:cs="Arial"/>
        </w:rPr>
      </w:pPr>
      <w:r>
        <w:t xml:space="preserve">É importante indicar claramente se o serviço de base para o qual se fornece informações sobre as tarifas internas inclui o comprovativo de entrega nos casos em que o serviço interno não </w:t>
      </w:r>
      <w:r w:rsidR="00C21FDE">
        <w:t>seja</w:t>
      </w:r>
      <w:r>
        <w:t xml:space="preserve"> fornecido sem este elemento. Essas informações devem ser fornecidas para cada um dos sete escalões de peso separadamente.</w:t>
      </w:r>
    </w:p>
    <w:p w14:paraId="2A1237C9" w14:textId="0EFD3E96" w:rsidR="004E7F60" w:rsidRPr="00C12FDB" w:rsidRDefault="004E7F60" w:rsidP="004E7F60">
      <w:pPr>
        <w:pStyle w:val="1Premierretrait"/>
        <w:numPr>
          <w:ilvl w:val="0"/>
          <w:numId w:val="13"/>
        </w:numPr>
        <w:rPr>
          <w:rFonts w:cs="Arial"/>
        </w:rPr>
      </w:pPr>
      <w:r>
        <w:t xml:space="preserve">Convém mencionar a fonte que permite verificar todas as informações fornecidas. Pode ser um </w:t>
      </w:r>
      <w:r>
        <w:rPr>
          <w:i/>
          <w:iCs/>
        </w:rPr>
        <w:t>site</w:t>
      </w:r>
      <w:r>
        <w:t xml:space="preserve"> acessível ao público onde as informações tarifárias e as especificações de serviço estão claramente publicadas, podem ser informações publicadas numa brochura </w:t>
      </w:r>
      <w:r w:rsidR="006E1515">
        <w:t>sobre</w:t>
      </w:r>
      <w:r>
        <w:t xml:space="preserve"> produtos, leis e/ou regras aplicáveis à área postal, ou uma confirmação escrita da entidade reguladora. A Secretaria Internacional verificará as informações com base nas fontes fornecidas.</w:t>
      </w:r>
    </w:p>
    <w:p w14:paraId="17F2E8C6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5CD8A3BC" w14:textId="77777777" w:rsidR="004E7F60" w:rsidRPr="00922D3C" w:rsidRDefault="004E7F60" w:rsidP="004E7F60">
      <w:pPr>
        <w:spacing w:line="240" w:lineRule="auto"/>
        <w:rPr>
          <w:rFonts w:cs="Arial"/>
        </w:rPr>
      </w:pPr>
      <w:r>
        <w:br w:type="page"/>
      </w:r>
    </w:p>
    <w:p w14:paraId="7E0E38C9" w14:textId="77777777" w:rsidR="004E7F60" w:rsidRPr="00C12FDB" w:rsidRDefault="004E7F60" w:rsidP="004E7F60">
      <w:pPr>
        <w:pStyle w:val="0Textedebase"/>
        <w:rPr>
          <w:rFonts w:cs="Arial"/>
          <w:b/>
          <w:bCs/>
        </w:rPr>
      </w:pPr>
      <w:r>
        <w:rPr>
          <w:b/>
        </w:rPr>
        <w:lastRenderedPageBreak/>
        <w:t>Notificação</w:t>
      </w:r>
    </w:p>
    <w:p w14:paraId="02A580E4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224E66B3" w14:textId="5EAA0734" w:rsidR="004E7F60" w:rsidRPr="00C12FDB" w:rsidRDefault="004E7F60" w:rsidP="004E7F60">
      <w:pPr>
        <w:pStyle w:val="0Textedebase"/>
        <w:rPr>
          <w:rFonts w:cs="Arial"/>
        </w:rPr>
      </w:pPr>
      <w:r>
        <w:t>As taxas autodeclaradas (tabelas 1 e 2) devem ser comunicadas em moeda local ou DES; as informações sobre a tarifa interna (tabelas 3 a 10) devem ser comunicadas em moeda local.</w:t>
      </w:r>
    </w:p>
    <w:p w14:paraId="34C69987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41FC98E0" w14:textId="77777777" w:rsidR="004E7F60" w:rsidRPr="00C12FDB" w:rsidRDefault="004E7F60" w:rsidP="004E7F60">
      <w:pPr>
        <w:pStyle w:val="0Textedebase"/>
        <w:tabs>
          <w:tab w:val="right" w:pos="9631"/>
        </w:tabs>
        <w:rPr>
          <w:rFonts w:cs="Arial"/>
        </w:rPr>
      </w:pPr>
      <w:r>
        <w:t>Moeda local utilizada para efeitos desta notificação:</w:t>
      </w:r>
      <w:r>
        <w:rPr>
          <w:u w:val="single"/>
        </w:rPr>
        <w:tab/>
      </w:r>
    </w:p>
    <w:p w14:paraId="12819222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0FCFE424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  <w:r>
        <w:rPr>
          <w:i/>
        </w:rPr>
        <w:t>Tabela 1 – Taxas autodeclaradas para as encomendas postais, excluindo impostos, em moeda local ou DES para os fluxos de chegada</w:t>
      </w:r>
    </w:p>
    <w:p w14:paraId="356FFEFD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</w:p>
    <w:tbl>
      <w:tblPr>
        <w:tblStyle w:val="Grilledutableau"/>
        <w:tblW w:w="4937" w:type="pct"/>
        <w:tblInd w:w="-5" w:type="dxa"/>
        <w:tblLook w:val="04A0" w:firstRow="1" w:lastRow="0" w:firstColumn="1" w:lastColumn="0" w:noHBand="0" w:noVBand="1"/>
      </w:tblPr>
      <w:tblGrid>
        <w:gridCol w:w="4753"/>
        <w:gridCol w:w="4754"/>
      </w:tblGrid>
      <w:tr w:rsidR="004E7F60" w:rsidRPr="00C12FDB" w14:paraId="1E8ADC42" w14:textId="77777777" w:rsidTr="0005520D">
        <w:trPr>
          <w:trHeight w:val="385"/>
        </w:trPr>
        <w:tc>
          <w:tcPr>
            <w:tcW w:w="2500" w:type="pct"/>
            <w:tcBorders>
              <w:bottom w:val="single" w:sz="4" w:space="0" w:color="auto"/>
            </w:tcBorders>
          </w:tcPr>
          <w:p w14:paraId="2495F572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 xml:space="preserve">Taxa autodeclarada por objeto 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7F5DF79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  <w:tr w:rsidR="004E7F60" w:rsidRPr="00C12FDB" w14:paraId="27AB281C" w14:textId="77777777" w:rsidTr="0005520D">
        <w:trPr>
          <w:trHeight w:val="385"/>
        </w:trPr>
        <w:tc>
          <w:tcPr>
            <w:tcW w:w="2500" w:type="pct"/>
          </w:tcPr>
          <w:p w14:paraId="5030856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 xml:space="preserve">Taxa autodeclarada por quilograma </w:t>
            </w:r>
          </w:p>
        </w:tc>
        <w:tc>
          <w:tcPr>
            <w:tcW w:w="2500" w:type="pct"/>
          </w:tcPr>
          <w:p w14:paraId="707A8773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  <w:tr w:rsidR="004E7F60" w:rsidRPr="00C12FDB" w14:paraId="50500D01" w14:textId="77777777" w:rsidTr="0005520D">
        <w:trPr>
          <w:trHeight w:val="385"/>
        </w:trPr>
        <w:tc>
          <w:tcPr>
            <w:tcW w:w="2500" w:type="pct"/>
            <w:tcBorders>
              <w:bottom w:val="single" w:sz="4" w:space="0" w:color="auto"/>
            </w:tcBorders>
          </w:tcPr>
          <w:p w14:paraId="6C2E923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rPr>
                <w:i/>
              </w:rPr>
              <w:t>Moeda (moeda local ou DES)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51AC0BDD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2A0FB289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3740FD13" w14:textId="702C4C02" w:rsidR="004E7F60" w:rsidRPr="00C12FDB" w:rsidRDefault="004E7F60" w:rsidP="004E7F60">
      <w:pPr>
        <w:pStyle w:val="0Textedebase"/>
        <w:rPr>
          <w:rFonts w:cs="Arial"/>
          <w:bCs/>
        </w:rPr>
      </w:pPr>
      <w:r>
        <w:t>Aplicável apenas aos operadores designados dos países classificados no grupo C: pretende substituir a receita máxima pelas taxas de base por encomenda e por quilograma de 2026 (quotas-partes territoriais de chegada), acrescidas de 40% e, posteriormente, reduzidas de 1,200 DES por encomenda?</w:t>
      </w:r>
      <w:r>
        <w:rPr>
          <w:b/>
        </w:rPr>
        <w:t xml:space="preserve"> </w:t>
      </w:r>
      <w:r>
        <w:t>Caso responda «Sim», a presente notificação deve ser acompanhada de uma decisão tomada pela autoridade competente, confirmando que as tarifas internas aplicáveis às encomendas não são definidas em função dos custos.</w:t>
      </w:r>
    </w:p>
    <w:p w14:paraId="61809791" w14:textId="01F939B1" w:rsidR="004E7F60" w:rsidRPr="00C12FDB" w:rsidRDefault="004E7F60" w:rsidP="00AD7FFE">
      <w:pPr>
        <w:spacing w:before="120"/>
        <w:ind w:left="397" w:hanging="397"/>
        <w:rPr>
          <w:rFonts w:cs="Arial"/>
        </w:rPr>
      </w:pPr>
      <w:r>
        <w:rPr>
          <w:sz w:val="24"/>
        </w:rPr>
        <w:sym w:font="Wingdings" w:char="F072"/>
      </w:r>
      <w:r>
        <w:rPr>
          <w:sz w:val="24"/>
        </w:rPr>
        <w:tab/>
      </w:r>
      <w:r>
        <w:t>Sim (continua a ser necessário preencher as outras tabelas deste questionário)</w:t>
      </w:r>
    </w:p>
    <w:p w14:paraId="1D438E50" w14:textId="62545B2C" w:rsidR="004E7F60" w:rsidRPr="00C12FDB" w:rsidRDefault="004E7F60" w:rsidP="00AD7FFE">
      <w:pPr>
        <w:spacing w:before="120"/>
        <w:ind w:left="397" w:hanging="397"/>
        <w:rPr>
          <w:rFonts w:cs="Arial"/>
        </w:rPr>
      </w:pPr>
      <w:r>
        <w:rPr>
          <w:sz w:val="24"/>
        </w:rPr>
        <w:sym w:font="Wingdings" w:char="F072"/>
      </w:r>
      <w:r>
        <w:rPr>
          <w:sz w:val="24"/>
        </w:rPr>
        <w:tab/>
      </w:r>
      <w:r>
        <w:t>Não</w:t>
      </w:r>
    </w:p>
    <w:p w14:paraId="43B75779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6BA39093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  <w:r>
        <w:rPr>
          <w:i/>
        </w:rPr>
        <w:t>Tabela 2 – Taxas suplementares autodeclaradas para a distribuição das encomendas postais nas zonas não contíguas, excluindo impostos, em moeda local ou DES para os fluxos de chegada</w:t>
      </w:r>
      <w:r w:rsidRPr="00C12FDB">
        <w:rPr>
          <w:rStyle w:val="Appelnotedebasdep"/>
          <w:rFonts w:cs="Arial"/>
          <w:i/>
          <w:iCs/>
        </w:rPr>
        <w:footnoteReference w:id="2"/>
      </w:r>
    </w:p>
    <w:p w14:paraId="7CEE4C83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92"/>
        <w:gridCol w:w="1701"/>
        <w:gridCol w:w="2270"/>
        <w:gridCol w:w="1982"/>
        <w:gridCol w:w="2688"/>
      </w:tblGrid>
      <w:tr w:rsidR="004E7F60" w:rsidRPr="00C12FDB" w14:paraId="34D969AB" w14:textId="77777777" w:rsidTr="00F33FBC">
        <w:trPr>
          <w:trHeight w:val="423"/>
        </w:trPr>
        <w:tc>
          <w:tcPr>
            <w:tcW w:w="515" w:type="pct"/>
            <w:tcBorders>
              <w:top w:val="nil"/>
              <w:left w:val="nil"/>
              <w:bottom w:val="single" w:sz="4" w:space="0" w:color="auto"/>
            </w:tcBorders>
          </w:tcPr>
          <w:p w14:paraId="5CFA3A32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76CB4" w14:textId="77777777" w:rsidR="004E7F60" w:rsidRPr="00C12FDB" w:rsidRDefault="004E7F60" w:rsidP="0005520D">
            <w:pPr>
              <w:spacing w:before="60" w:after="60"/>
              <w:rPr>
                <w:rFonts w:cs="Arial"/>
                <w:i/>
                <w:iCs/>
              </w:rPr>
            </w:pPr>
            <w:r>
              <w:rPr>
                <w:i/>
              </w:rPr>
              <w:t>Nome da zona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1F560" w14:textId="77777777" w:rsidR="004E7F60" w:rsidRPr="00C12FDB" w:rsidRDefault="004E7F60" w:rsidP="0005520D">
            <w:pPr>
              <w:spacing w:before="60" w:after="60"/>
              <w:rPr>
                <w:rFonts w:cs="Arial"/>
                <w:i/>
                <w:iCs/>
              </w:rPr>
            </w:pPr>
            <w:r>
              <w:rPr>
                <w:i/>
              </w:rPr>
              <w:t>Taxa suplementar autodeclarada por objeto</w:t>
            </w: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699F68B8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rPr>
                <w:i/>
              </w:rPr>
              <w:t>Moeda (moeda local ou DES)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23815CFF" w14:textId="4CA09F03" w:rsidR="004E7F60" w:rsidRPr="00C12FDB" w:rsidRDefault="004E7F60" w:rsidP="0005520D">
            <w:pPr>
              <w:spacing w:before="60" w:after="60"/>
              <w:rPr>
                <w:rFonts w:cs="Arial"/>
                <w:i/>
                <w:iCs/>
              </w:rPr>
            </w:pPr>
            <w:r>
              <w:rPr>
                <w:i/>
              </w:rPr>
              <w:t>Intervalo de códigos postais que define a zona de distribuição</w:t>
            </w:r>
          </w:p>
        </w:tc>
      </w:tr>
      <w:tr w:rsidR="004E7F60" w:rsidRPr="00C12FDB" w14:paraId="403CE964" w14:textId="77777777" w:rsidTr="00F33FBC">
        <w:trPr>
          <w:trHeight w:val="423"/>
        </w:trPr>
        <w:tc>
          <w:tcPr>
            <w:tcW w:w="515" w:type="pct"/>
            <w:tcBorders>
              <w:bottom w:val="single" w:sz="4" w:space="0" w:color="auto"/>
            </w:tcBorders>
          </w:tcPr>
          <w:p w14:paraId="13B7A675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>Zona 1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0779881C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5C67571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0384DAAF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1AC63070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  <w:tr w:rsidR="004E7F60" w:rsidRPr="00C12FDB" w14:paraId="517A72A2" w14:textId="77777777" w:rsidTr="00F33FBC">
        <w:trPr>
          <w:trHeight w:val="423"/>
        </w:trPr>
        <w:tc>
          <w:tcPr>
            <w:tcW w:w="515" w:type="pct"/>
          </w:tcPr>
          <w:p w14:paraId="7BD27DB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>Zona 2</w:t>
            </w:r>
          </w:p>
        </w:tc>
        <w:tc>
          <w:tcPr>
            <w:tcW w:w="883" w:type="pct"/>
          </w:tcPr>
          <w:p w14:paraId="552DADE5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178" w:type="pct"/>
          </w:tcPr>
          <w:p w14:paraId="547510EB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029" w:type="pct"/>
          </w:tcPr>
          <w:p w14:paraId="2A16E25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395" w:type="pct"/>
          </w:tcPr>
          <w:p w14:paraId="4AF5C459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  <w:tr w:rsidR="004E7F60" w:rsidRPr="00C12FDB" w14:paraId="77AB6E59" w14:textId="77777777" w:rsidTr="00F33FBC">
        <w:trPr>
          <w:trHeight w:val="423"/>
        </w:trPr>
        <w:tc>
          <w:tcPr>
            <w:tcW w:w="515" w:type="pct"/>
            <w:tcBorders>
              <w:bottom w:val="single" w:sz="4" w:space="0" w:color="auto"/>
            </w:tcBorders>
          </w:tcPr>
          <w:p w14:paraId="618C84B2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>Zona 3</w:t>
            </w: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66CB8451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14:paraId="28A00798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029" w:type="pct"/>
            <w:tcBorders>
              <w:bottom w:val="single" w:sz="4" w:space="0" w:color="auto"/>
            </w:tcBorders>
          </w:tcPr>
          <w:p w14:paraId="1E5028D7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14:paraId="043B72B0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06B5572E" w14:textId="77777777" w:rsidR="004E7F60" w:rsidRPr="00AD7FFE" w:rsidRDefault="004E7F60" w:rsidP="004E7F60">
      <w:pPr>
        <w:pStyle w:val="0Textedebase"/>
        <w:rPr>
          <w:rFonts w:cs="Arial"/>
          <w:i/>
          <w:iCs/>
        </w:rPr>
      </w:pPr>
    </w:p>
    <w:p w14:paraId="65F765C8" w14:textId="4D99CBEE" w:rsidR="004E7F60" w:rsidRPr="00C12FDB" w:rsidRDefault="004E7F60" w:rsidP="004E7F60">
      <w:pPr>
        <w:pStyle w:val="0Textedebase"/>
        <w:rPr>
          <w:rFonts w:cs="Arial"/>
        </w:rPr>
      </w:pPr>
      <w:r>
        <w:t>Se o comprovativo de entrega estiver disponível na sua oferta nacional como serviço adicional, indique, na tabela 2, a sobretaxa aplicável em moeda local.</w:t>
      </w:r>
    </w:p>
    <w:p w14:paraId="5F08A8F5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</w:p>
    <w:p w14:paraId="6A46B025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  <w:r>
        <w:rPr>
          <w:i/>
        </w:rPr>
        <w:t>Tabela 3 – Sobretaxa aplicável ao comprovativo de entrega no serviço interno</w:t>
      </w:r>
    </w:p>
    <w:p w14:paraId="34E05FEC" w14:textId="77777777" w:rsidR="004E7F60" w:rsidRPr="00C12FDB" w:rsidRDefault="004E7F60" w:rsidP="004E7F60">
      <w:pPr>
        <w:pStyle w:val="0Textedebase"/>
        <w:rPr>
          <w:rFonts w:cs="Arial"/>
          <w:i/>
          <w:iCs/>
        </w:rPr>
      </w:pPr>
    </w:p>
    <w:tbl>
      <w:tblPr>
        <w:tblStyle w:val="Grilledutableau"/>
        <w:tblW w:w="4937" w:type="pct"/>
        <w:tblInd w:w="-5" w:type="dxa"/>
        <w:tblLook w:val="04A0" w:firstRow="1" w:lastRow="0" w:firstColumn="1" w:lastColumn="0" w:noHBand="0" w:noVBand="1"/>
      </w:tblPr>
      <w:tblGrid>
        <w:gridCol w:w="4816"/>
        <w:gridCol w:w="4691"/>
      </w:tblGrid>
      <w:tr w:rsidR="004E7F60" w:rsidRPr="00C12FDB" w14:paraId="1FDBA2CD" w14:textId="77777777" w:rsidTr="00AD7FFE">
        <w:trPr>
          <w:trHeight w:val="385"/>
        </w:trPr>
        <w:tc>
          <w:tcPr>
            <w:tcW w:w="2533" w:type="pct"/>
            <w:tcBorders>
              <w:bottom w:val="single" w:sz="4" w:space="0" w:color="auto"/>
            </w:tcBorders>
          </w:tcPr>
          <w:p w14:paraId="1ECCAA77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>Taxa por objeto (em moeda local)</w:t>
            </w:r>
          </w:p>
        </w:tc>
        <w:tc>
          <w:tcPr>
            <w:tcW w:w="2467" w:type="pct"/>
            <w:tcBorders>
              <w:bottom w:val="single" w:sz="4" w:space="0" w:color="auto"/>
            </w:tcBorders>
          </w:tcPr>
          <w:p w14:paraId="2CB466E1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48015CE0" w14:textId="77777777" w:rsidR="004E7F60" w:rsidRPr="00C12FDB" w:rsidRDefault="004E7F60" w:rsidP="004E7F60">
      <w:pPr>
        <w:pStyle w:val="0Textedebase"/>
        <w:rPr>
          <w:rFonts w:cs="Arial"/>
        </w:rPr>
      </w:pPr>
    </w:p>
    <w:p w14:paraId="77A89A96" w14:textId="77777777" w:rsidR="009413EC" w:rsidRDefault="009413EC">
      <w:pPr>
        <w:spacing w:line="240" w:lineRule="auto"/>
        <w:rPr>
          <w:rFonts w:cs="Arial"/>
          <w:i/>
        </w:rPr>
      </w:pPr>
      <w:r>
        <w:br w:type="page"/>
      </w:r>
    </w:p>
    <w:p w14:paraId="7754E55F" w14:textId="518F0B12" w:rsidR="004E7F60" w:rsidRPr="00F33FBC" w:rsidRDefault="004E7F60" w:rsidP="00F33FBC">
      <w:pPr>
        <w:spacing w:line="240" w:lineRule="auto"/>
        <w:jc w:val="both"/>
        <w:rPr>
          <w:rFonts w:cs="Arial"/>
          <w:i/>
          <w:iCs/>
        </w:rPr>
      </w:pPr>
      <w:r>
        <w:rPr>
          <w:i/>
        </w:rPr>
        <w:lastRenderedPageBreak/>
        <w:t>Tabela 4 – Tarifa interna para uma encomenda de 250 gramas no serviço interno, em vigor em 1 de maio de 2026</w:t>
      </w:r>
    </w:p>
    <w:p w14:paraId="0EF07237" w14:textId="77777777" w:rsidR="004E7F60" w:rsidRPr="00C12FDB" w:rsidRDefault="004E7F60" w:rsidP="004E7F60">
      <w:pPr>
        <w:pStyle w:val="0Textedebase"/>
        <w:spacing w:line="220" w:lineRule="atLeast"/>
        <w:rPr>
          <w:rFonts w:cs="Arial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4E7F60" w:rsidRPr="00C12FDB" w14:paraId="2C948E3C" w14:textId="77777777" w:rsidTr="00AD7FFE">
        <w:tc>
          <w:tcPr>
            <w:tcW w:w="2498" w:type="pct"/>
            <w:shd w:val="clear" w:color="auto" w:fill="auto"/>
          </w:tcPr>
          <w:p w14:paraId="395A4F78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58A77DDE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6FC8BB4A" w14:textId="77777777" w:rsidTr="00AD7FFE">
        <w:tc>
          <w:tcPr>
            <w:tcW w:w="2498" w:type="pct"/>
            <w:shd w:val="clear" w:color="auto" w:fill="auto"/>
          </w:tcPr>
          <w:p w14:paraId="5A214C71" w14:textId="1C125C9B" w:rsidR="004E7F60" w:rsidRPr="00AD7FFE" w:rsidRDefault="004E7F60" w:rsidP="0005520D">
            <w:pPr>
              <w:spacing w:before="60" w:after="60"/>
              <w:jc w:val="both"/>
              <w:rPr>
                <w:rFonts w:cs="Arial"/>
                <w:spacing w:val="-2"/>
              </w:rPr>
            </w:pPr>
            <w:r>
              <w:t>Taxa se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4A7E712D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6D3829B5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EDF6" w14:textId="2B09DBEE" w:rsidR="004E7F60" w:rsidRPr="00C12FDB" w:rsidRDefault="004E7F60" w:rsidP="009413EC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B561" w14:textId="0A0036F3" w:rsidR="004E7F60" w:rsidRPr="00C12FDB" w:rsidRDefault="004E7F60" w:rsidP="00AD7FFE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3"/>
            </w:r>
          </w:p>
          <w:p w14:paraId="79A94139" w14:textId="77777777" w:rsidR="004E7F60" w:rsidRPr="00C12FDB" w:rsidRDefault="004E7F60" w:rsidP="00AD7FFE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65EFD9C7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E44A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6B523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37C25BFC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28DDF" w14:textId="77777777" w:rsidR="004E7F60" w:rsidRPr="00C12FDB" w:rsidRDefault="004E7F60" w:rsidP="00243219">
            <w:pPr>
              <w:spacing w:before="60" w:after="60"/>
              <w:jc w:val="both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97109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20EEDED3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F93BC" w14:textId="04190923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6E30" w14:textId="449C0F0E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2106E794" w14:textId="6B39A864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7B6F5B18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1820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54470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7A06A2D3" w14:textId="77777777" w:rsidR="004E7F60" w:rsidRPr="00C12FDB" w:rsidRDefault="004E7F60" w:rsidP="004E7F60">
      <w:pPr>
        <w:spacing w:line="200" w:lineRule="atLeast"/>
        <w:jc w:val="both"/>
        <w:rPr>
          <w:rFonts w:cs="Arial"/>
        </w:rPr>
      </w:pPr>
    </w:p>
    <w:p w14:paraId="6BA16346" w14:textId="56CA3E02" w:rsidR="004E7F60" w:rsidRPr="00F33FBC" w:rsidRDefault="004E7F60" w:rsidP="004E7F60">
      <w:pPr>
        <w:spacing w:line="200" w:lineRule="atLeast"/>
        <w:jc w:val="both"/>
        <w:rPr>
          <w:rFonts w:cs="Arial"/>
          <w:i/>
          <w:iCs/>
        </w:rPr>
      </w:pPr>
      <w:r>
        <w:rPr>
          <w:i/>
        </w:rPr>
        <w:t>Tabela 5 – Tarifa interna para uma encomenda de 500 gramas no serviço interno, em vigor em 1 de maio de 2026</w:t>
      </w:r>
    </w:p>
    <w:p w14:paraId="296A608E" w14:textId="77777777" w:rsidR="004E7F60" w:rsidRPr="00C12FDB" w:rsidRDefault="004E7F60" w:rsidP="004E7F60">
      <w:pPr>
        <w:pStyle w:val="0Textedebase"/>
        <w:spacing w:line="220" w:lineRule="atLeast"/>
        <w:rPr>
          <w:rFonts w:cs="Arial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4E7F60" w:rsidRPr="00C12FDB" w14:paraId="04488678" w14:textId="77777777" w:rsidTr="00AD7FFE">
        <w:tc>
          <w:tcPr>
            <w:tcW w:w="2498" w:type="pct"/>
            <w:shd w:val="clear" w:color="auto" w:fill="auto"/>
          </w:tcPr>
          <w:p w14:paraId="7106DF41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2FAFBF3E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5B6BC60F" w14:textId="77777777" w:rsidTr="00AD7FFE">
        <w:tc>
          <w:tcPr>
            <w:tcW w:w="2498" w:type="pct"/>
            <w:shd w:val="clear" w:color="auto" w:fill="auto"/>
          </w:tcPr>
          <w:p w14:paraId="6D5B4E02" w14:textId="77777777" w:rsidR="004E7F60" w:rsidRPr="00EA7598" w:rsidRDefault="004E7F60" w:rsidP="00EA7598">
            <w:pPr>
              <w:spacing w:before="60" w:after="60"/>
              <w:jc w:val="both"/>
              <w:rPr>
                <w:rFonts w:cs="Arial"/>
              </w:rPr>
            </w:pPr>
            <w:r>
              <w:t>Taxa se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62CC8734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2B0DB754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0411" w14:textId="253528BA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AD91E" w14:textId="77B78137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4"/>
            </w:r>
          </w:p>
          <w:p w14:paraId="32881EAE" w14:textId="77777777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45BF97D5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EDB3F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CF89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396A7B5E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90C8" w14:textId="77777777" w:rsidR="004E7F60" w:rsidRPr="00C12FDB" w:rsidRDefault="004E7F60" w:rsidP="00C12FDB">
            <w:pPr>
              <w:spacing w:before="60" w:after="60"/>
              <w:jc w:val="both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F30A7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1A71DE1A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B9300" w14:textId="0FE6A04E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33646" w14:textId="443CF820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4415FC03" w14:textId="2C4D234D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239C063E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4B3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C2032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33A83777" w14:textId="77777777" w:rsidR="004E7F60" w:rsidRPr="00C12FDB" w:rsidRDefault="004E7F60" w:rsidP="004E7F60">
      <w:pPr>
        <w:spacing w:line="200" w:lineRule="atLeast"/>
        <w:jc w:val="both"/>
        <w:rPr>
          <w:rFonts w:cs="Arial"/>
        </w:rPr>
      </w:pPr>
    </w:p>
    <w:p w14:paraId="0751D114" w14:textId="77777777" w:rsidR="009413EC" w:rsidRDefault="009413EC">
      <w:pPr>
        <w:spacing w:line="240" w:lineRule="auto"/>
        <w:rPr>
          <w:rFonts w:cs="Arial"/>
          <w:i/>
        </w:rPr>
      </w:pPr>
      <w:r>
        <w:br w:type="page"/>
      </w:r>
    </w:p>
    <w:p w14:paraId="49706225" w14:textId="047493AC" w:rsidR="004E7F60" w:rsidRPr="00C12FDB" w:rsidRDefault="004E7F60" w:rsidP="00F33FBC">
      <w:pPr>
        <w:spacing w:line="240" w:lineRule="auto"/>
        <w:jc w:val="both"/>
        <w:rPr>
          <w:rFonts w:cs="Arial"/>
          <w:i/>
          <w:iCs/>
        </w:rPr>
      </w:pPr>
      <w:r>
        <w:rPr>
          <w:i/>
        </w:rPr>
        <w:lastRenderedPageBreak/>
        <w:t>Tabela 6 – Tarifa interna para uma encomenda de 1 quilograma no serviço interno, em vigor em 1 de maio de 2026</w:t>
      </w:r>
    </w:p>
    <w:p w14:paraId="7772069F" w14:textId="77777777" w:rsidR="004E7F60" w:rsidRPr="00C12FDB" w:rsidRDefault="004E7F60" w:rsidP="004E7F60">
      <w:pPr>
        <w:pStyle w:val="0Textedebase"/>
        <w:spacing w:line="220" w:lineRule="atLeast"/>
        <w:rPr>
          <w:rFonts w:cs="Arial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4E7F60" w:rsidRPr="00C12FDB" w14:paraId="46662BF4" w14:textId="77777777" w:rsidTr="00AD7FFE">
        <w:tc>
          <w:tcPr>
            <w:tcW w:w="2498" w:type="pct"/>
            <w:shd w:val="clear" w:color="auto" w:fill="auto"/>
          </w:tcPr>
          <w:p w14:paraId="6C74F227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5D7AADB0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1705559F" w14:textId="77777777" w:rsidTr="00AD7FFE">
        <w:tc>
          <w:tcPr>
            <w:tcW w:w="2498" w:type="pct"/>
            <w:shd w:val="clear" w:color="auto" w:fill="auto"/>
          </w:tcPr>
          <w:p w14:paraId="58B10283" w14:textId="77777777" w:rsidR="004E7F60" w:rsidRPr="00EA7598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19BA3163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672E16E4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26025" w14:textId="781CA694" w:rsidR="004E7F60" w:rsidRPr="00C12FDB" w:rsidRDefault="004E7F60" w:rsidP="009413EC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tarifação: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4BCC" w14:textId="7E2F63FD" w:rsidR="004E7F60" w:rsidRPr="00C12FDB" w:rsidRDefault="004E7F60" w:rsidP="005365D8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5"/>
            </w:r>
          </w:p>
          <w:p w14:paraId="5BABC193" w14:textId="77777777" w:rsidR="004E7F60" w:rsidRPr="00C12FDB" w:rsidRDefault="004E7F60" w:rsidP="005365D8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7AE0B5AB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17A5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0794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3EA61949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65989" w14:textId="77777777" w:rsidR="004E7F60" w:rsidRPr="00C12FDB" w:rsidRDefault="004E7F60" w:rsidP="00243219">
            <w:pPr>
              <w:spacing w:before="60" w:after="60"/>
              <w:jc w:val="both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58C5A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583D2C45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4CF07" w14:textId="6C9D479C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FA49" w14:textId="2E0A56C8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225CABF2" w14:textId="43F1C6C7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305446C3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263D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FBD77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2C2B7A16" w14:textId="77777777" w:rsidR="004E7F60" w:rsidRPr="004B3B07" w:rsidRDefault="004E7F60" w:rsidP="004E7F60">
      <w:pPr>
        <w:spacing w:line="200" w:lineRule="atLeast"/>
        <w:jc w:val="both"/>
        <w:rPr>
          <w:rFonts w:cs="Arial"/>
        </w:rPr>
      </w:pPr>
    </w:p>
    <w:p w14:paraId="1AF77044" w14:textId="27B9C0CC" w:rsidR="004E7F60" w:rsidRPr="00C12FDB" w:rsidRDefault="004E7F60" w:rsidP="00F33FBC">
      <w:pPr>
        <w:spacing w:line="240" w:lineRule="auto"/>
        <w:jc w:val="both"/>
        <w:rPr>
          <w:rFonts w:cs="Arial"/>
          <w:i/>
          <w:iCs/>
        </w:rPr>
      </w:pPr>
      <w:r>
        <w:rPr>
          <w:i/>
        </w:rPr>
        <w:t>Tabela 7 – Tarifa interna para uma encomenda de 2 quilogramas no serviço interno, em vigor em 1 de maio de 2026</w:t>
      </w:r>
    </w:p>
    <w:p w14:paraId="219AA51D" w14:textId="77777777" w:rsidR="004E7F60" w:rsidRPr="00C12FDB" w:rsidRDefault="004E7F60" w:rsidP="004E7F60">
      <w:pPr>
        <w:pStyle w:val="0Textedebase"/>
        <w:spacing w:line="220" w:lineRule="atLeast"/>
        <w:rPr>
          <w:rFonts w:cs="Arial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4E7F60" w:rsidRPr="00C12FDB" w14:paraId="753EDE52" w14:textId="77777777" w:rsidTr="00AD7FFE">
        <w:tc>
          <w:tcPr>
            <w:tcW w:w="2498" w:type="pct"/>
            <w:shd w:val="clear" w:color="auto" w:fill="auto"/>
          </w:tcPr>
          <w:p w14:paraId="44BD1D28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26145648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588B6384" w14:textId="77777777" w:rsidTr="00AD7FFE">
        <w:tc>
          <w:tcPr>
            <w:tcW w:w="2498" w:type="pct"/>
            <w:shd w:val="clear" w:color="auto" w:fill="auto"/>
          </w:tcPr>
          <w:p w14:paraId="07E3EBA6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4DD3FC85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20C251BE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99B0" w14:textId="1E2A3891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F3DE" w14:textId="2D639C15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6"/>
            </w:r>
          </w:p>
          <w:p w14:paraId="4BB95A19" w14:textId="77777777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412594A9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6A5A3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4039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78A86758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FBF2" w14:textId="77777777" w:rsidR="004E7F60" w:rsidRPr="00C12FDB" w:rsidRDefault="004E7F60" w:rsidP="00EA7598">
            <w:pPr>
              <w:spacing w:before="60" w:after="60"/>
              <w:jc w:val="both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269F9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471BF6F4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19EC4" w14:textId="78594ED9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B286" w14:textId="457DB8B5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3DC1991E" w14:textId="0323E228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6FE6113B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CD6E" w14:textId="77777777" w:rsidR="004E7F60" w:rsidRPr="00C12FDB" w:rsidRDefault="004E7F60" w:rsidP="004B3B07">
            <w:pPr>
              <w:spacing w:before="60" w:after="60"/>
              <w:jc w:val="both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E9FD2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682FEB62" w14:textId="77777777" w:rsidR="004E7F60" w:rsidRPr="004B3B07" w:rsidRDefault="004E7F60" w:rsidP="004B3B07">
      <w:pPr>
        <w:pStyle w:val="0Textedebase"/>
        <w:spacing w:line="220" w:lineRule="atLeast"/>
        <w:rPr>
          <w:rFonts w:cs="Arial"/>
        </w:rPr>
      </w:pPr>
    </w:p>
    <w:p w14:paraId="41018957" w14:textId="77777777" w:rsidR="009413EC" w:rsidRDefault="009413EC">
      <w:pPr>
        <w:spacing w:line="240" w:lineRule="auto"/>
        <w:rPr>
          <w:rFonts w:cs="Arial"/>
          <w:i/>
        </w:rPr>
      </w:pPr>
      <w:r>
        <w:br w:type="page"/>
      </w:r>
    </w:p>
    <w:p w14:paraId="1165FE9F" w14:textId="294B18C2" w:rsidR="004E7F60" w:rsidRPr="00C12FDB" w:rsidRDefault="004E7F60" w:rsidP="004B3B07">
      <w:pPr>
        <w:spacing w:line="240" w:lineRule="auto"/>
        <w:jc w:val="both"/>
        <w:rPr>
          <w:rFonts w:cs="Arial"/>
          <w:i/>
          <w:iCs/>
        </w:rPr>
      </w:pPr>
      <w:r>
        <w:rPr>
          <w:i/>
        </w:rPr>
        <w:lastRenderedPageBreak/>
        <w:t>Tabela 8 – Tarifa interna para uma encomenda de 5 quilogramas no serviço interno, em vigor em 1 de maio de 2026</w:t>
      </w:r>
    </w:p>
    <w:p w14:paraId="10E5E272" w14:textId="77777777" w:rsidR="004E7F60" w:rsidRPr="004B3B07" w:rsidRDefault="004E7F60" w:rsidP="004E7F60">
      <w:pPr>
        <w:pStyle w:val="0Textedebase"/>
        <w:spacing w:line="220" w:lineRule="atLeas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0"/>
        <w:gridCol w:w="4818"/>
      </w:tblGrid>
      <w:tr w:rsidR="004E7F60" w:rsidRPr="00C12FDB" w14:paraId="5DA58F2C" w14:textId="77777777" w:rsidTr="00AD7FFE">
        <w:tc>
          <w:tcPr>
            <w:tcW w:w="2498" w:type="pct"/>
            <w:shd w:val="clear" w:color="auto" w:fill="auto"/>
          </w:tcPr>
          <w:p w14:paraId="5E2CEA3B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7C22C9D3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43ED78CE" w14:textId="77777777" w:rsidTr="00AD7FFE">
        <w:tc>
          <w:tcPr>
            <w:tcW w:w="2498" w:type="pct"/>
            <w:shd w:val="clear" w:color="auto" w:fill="auto"/>
          </w:tcPr>
          <w:p w14:paraId="33727E00" w14:textId="77777777" w:rsidR="004E7F60" w:rsidRPr="00243219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se aplicar uma tarifação por zona (em moeda local)</w:t>
            </w:r>
          </w:p>
        </w:tc>
        <w:tc>
          <w:tcPr>
            <w:tcW w:w="2502" w:type="pct"/>
            <w:shd w:val="clear" w:color="auto" w:fill="auto"/>
          </w:tcPr>
          <w:p w14:paraId="4A5898DF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34C584C0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4FDB" w14:textId="45B1CEB6" w:rsidR="004E7F60" w:rsidRPr="00C12FDB" w:rsidRDefault="004E7F60" w:rsidP="009413EC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42FF2" w14:textId="5153FB5A" w:rsidR="004E7F60" w:rsidRPr="00C12FDB" w:rsidRDefault="004E7F60" w:rsidP="005365D8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7"/>
            </w:r>
          </w:p>
          <w:p w14:paraId="20F010E9" w14:textId="77777777" w:rsidR="004E7F60" w:rsidRPr="00C12FDB" w:rsidRDefault="004E7F60" w:rsidP="005365D8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37A43771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85E1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D131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5929A7EB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C072" w14:textId="77777777" w:rsidR="004E7F60" w:rsidRPr="00C12FDB" w:rsidRDefault="004E7F60" w:rsidP="00EA7598">
            <w:pPr>
              <w:spacing w:before="60" w:after="60"/>
              <w:jc w:val="both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9973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331FE268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BC5BA" w14:textId="44B3B2F6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44DD" w14:textId="4E1A96A4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32C7B963" w14:textId="64E5A981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14CD9D23" w14:textId="77777777" w:rsidTr="00AD7FFE"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88A5" w14:textId="77777777" w:rsidR="004E7F60" w:rsidRPr="00C12FDB" w:rsidRDefault="004E7F60" w:rsidP="005365D8">
            <w:pPr>
              <w:spacing w:before="60" w:after="60"/>
              <w:jc w:val="both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0C1D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2F121112" w14:textId="77777777" w:rsidR="004E7F60" w:rsidRPr="00C12FDB" w:rsidRDefault="004E7F60" w:rsidP="004E7F60">
      <w:pPr>
        <w:spacing w:line="200" w:lineRule="atLeast"/>
        <w:jc w:val="both"/>
        <w:rPr>
          <w:rFonts w:cs="Arial"/>
          <w:b/>
          <w:bCs/>
        </w:rPr>
      </w:pPr>
    </w:p>
    <w:p w14:paraId="6325B2B5" w14:textId="77777777" w:rsidR="004E7F60" w:rsidRPr="00C12FDB" w:rsidRDefault="004E7F60" w:rsidP="004E7F60">
      <w:pPr>
        <w:spacing w:line="240" w:lineRule="auto"/>
        <w:rPr>
          <w:rFonts w:cs="Arial"/>
          <w:i/>
          <w:iCs/>
        </w:rPr>
      </w:pPr>
      <w:r>
        <w:rPr>
          <w:i/>
        </w:rPr>
        <w:t>Tabela 9 – Tarifa interna para uma encomenda de 10 quilogramas no serviço interno, em vigor em 1 de maio de 2026</w:t>
      </w:r>
    </w:p>
    <w:p w14:paraId="3845BB6C" w14:textId="77777777" w:rsidR="004E7F60" w:rsidRPr="00C12FDB" w:rsidRDefault="004E7F60" w:rsidP="004E7F60">
      <w:pPr>
        <w:pStyle w:val="0Textedebase"/>
        <w:spacing w:line="220" w:lineRule="atLeast"/>
        <w:rPr>
          <w:rFonts w:cs="Arial"/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E7F60" w:rsidRPr="00C12FDB" w14:paraId="666BCE0C" w14:textId="77777777" w:rsidTr="0005520D">
        <w:tc>
          <w:tcPr>
            <w:tcW w:w="2500" w:type="pct"/>
            <w:shd w:val="clear" w:color="auto" w:fill="auto"/>
          </w:tcPr>
          <w:p w14:paraId="6633E6C3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0" w:type="pct"/>
            <w:shd w:val="clear" w:color="auto" w:fill="auto"/>
          </w:tcPr>
          <w:p w14:paraId="7028C072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1DD706FE" w14:textId="77777777" w:rsidTr="0005520D">
        <w:tc>
          <w:tcPr>
            <w:tcW w:w="2500" w:type="pct"/>
            <w:shd w:val="clear" w:color="auto" w:fill="auto"/>
          </w:tcPr>
          <w:p w14:paraId="50CC8D48" w14:textId="77777777" w:rsidR="004E7F60" w:rsidRPr="00F33FBC" w:rsidRDefault="004E7F60" w:rsidP="0005520D">
            <w:pPr>
              <w:spacing w:before="60" w:after="60"/>
              <w:jc w:val="both"/>
              <w:rPr>
                <w:rFonts w:cs="Arial"/>
                <w:spacing w:val="-2"/>
              </w:rPr>
            </w:pPr>
            <w:r>
              <w:t>Taxa se se aplicar uma tarifação por zona (em moeda local)</w:t>
            </w:r>
          </w:p>
        </w:tc>
        <w:tc>
          <w:tcPr>
            <w:tcW w:w="2500" w:type="pct"/>
            <w:shd w:val="clear" w:color="auto" w:fill="auto"/>
          </w:tcPr>
          <w:p w14:paraId="5254E4B6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7DAEBC70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EED3" w14:textId="1DA00594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E0978" w14:textId="34272344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8"/>
            </w:r>
          </w:p>
          <w:p w14:paraId="2E9DFAE4" w14:textId="77777777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52E85DF9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1D0F" w14:textId="77777777" w:rsidR="004E7F60" w:rsidRPr="00C12FDB" w:rsidRDefault="004E7F60" w:rsidP="005365D8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9267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04C938E4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EA28" w14:textId="77777777" w:rsidR="004E7F60" w:rsidRPr="00C12FDB" w:rsidRDefault="004E7F60" w:rsidP="005365D8">
            <w:pPr>
              <w:spacing w:before="60" w:after="60"/>
              <w:jc w:val="both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8CC0E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7CBE4806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236C" w14:textId="761DCAAA" w:rsidR="004E7F60" w:rsidRPr="00C12FDB" w:rsidRDefault="004E7F60" w:rsidP="005365D8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3C09A" w14:textId="16E28D82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105089AC" w14:textId="2DA58806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62EB6ECF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E0564" w14:textId="77777777" w:rsidR="004E7F60" w:rsidRPr="00C12FDB" w:rsidRDefault="004E7F60" w:rsidP="005365D8">
            <w:pPr>
              <w:spacing w:before="60" w:after="60"/>
              <w:jc w:val="both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1A6DF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7D06E512" w14:textId="77777777" w:rsidR="004E7F60" w:rsidRPr="004B3B07" w:rsidRDefault="004E7F60" w:rsidP="004E7F60">
      <w:pPr>
        <w:spacing w:line="200" w:lineRule="atLeast"/>
        <w:jc w:val="both"/>
        <w:rPr>
          <w:rFonts w:cs="Arial"/>
        </w:rPr>
      </w:pPr>
    </w:p>
    <w:p w14:paraId="201AA863" w14:textId="77777777" w:rsidR="009413EC" w:rsidRDefault="009413EC">
      <w:pPr>
        <w:spacing w:line="240" w:lineRule="auto"/>
        <w:rPr>
          <w:rFonts w:cs="Arial"/>
          <w:i/>
        </w:rPr>
      </w:pPr>
      <w:r>
        <w:br w:type="page"/>
      </w:r>
    </w:p>
    <w:p w14:paraId="0C8ED6A2" w14:textId="2D368860" w:rsidR="004E7F60" w:rsidRPr="00C12FDB" w:rsidRDefault="004E7F60" w:rsidP="004E7F60">
      <w:pPr>
        <w:spacing w:line="240" w:lineRule="auto"/>
        <w:rPr>
          <w:rFonts w:cs="Arial"/>
          <w:i/>
          <w:iCs/>
        </w:rPr>
      </w:pPr>
      <w:r>
        <w:rPr>
          <w:i/>
        </w:rPr>
        <w:lastRenderedPageBreak/>
        <w:t>Tabela 10 – Tarifa interna para uma encomenda de 20 quilogramas no serviço interno, em vigor em 1 de maio de 2026</w:t>
      </w:r>
    </w:p>
    <w:p w14:paraId="5ECCB853" w14:textId="77777777" w:rsidR="004E7F60" w:rsidRPr="004B3B07" w:rsidRDefault="004E7F60" w:rsidP="004E7F60">
      <w:pPr>
        <w:pStyle w:val="0Textedebase"/>
        <w:spacing w:line="220" w:lineRule="atLeast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4E7F60" w:rsidRPr="00C12FDB" w14:paraId="7D6A7550" w14:textId="77777777" w:rsidTr="0005520D">
        <w:tc>
          <w:tcPr>
            <w:tcW w:w="2500" w:type="pct"/>
            <w:shd w:val="clear" w:color="auto" w:fill="auto"/>
          </w:tcPr>
          <w:p w14:paraId="6EC8402F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se não se aplicar uma tarifação por zona (em moeda local)</w:t>
            </w:r>
          </w:p>
        </w:tc>
        <w:tc>
          <w:tcPr>
            <w:tcW w:w="2500" w:type="pct"/>
            <w:shd w:val="clear" w:color="auto" w:fill="auto"/>
          </w:tcPr>
          <w:p w14:paraId="13534AD4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7A8598B9" w14:textId="77777777" w:rsidTr="0005520D">
        <w:tc>
          <w:tcPr>
            <w:tcW w:w="2500" w:type="pct"/>
            <w:shd w:val="clear" w:color="auto" w:fill="auto"/>
          </w:tcPr>
          <w:p w14:paraId="78237725" w14:textId="77777777" w:rsidR="004E7F60" w:rsidRPr="00243219" w:rsidRDefault="004E7F60" w:rsidP="0005520D">
            <w:pPr>
              <w:spacing w:before="60" w:after="60"/>
              <w:jc w:val="both"/>
              <w:rPr>
                <w:rFonts w:cs="Arial"/>
                <w:spacing w:val="-2"/>
              </w:rPr>
            </w:pPr>
            <w:r>
              <w:t>Taxa se se aplicar uma tarifação por zona (em moeda local)</w:t>
            </w:r>
          </w:p>
        </w:tc>
        <w:tc>
          <w:tcPr>
            <w:tcW w:w="2500" w:type="pct"/>
            <w:shd w:val="clear" w:color="auto" w:fill="auto"/>
          </w:tcPr>
          <w:p w14:paraId="039EB4AA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3DB2D93C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0EF89" w14:textId="6A3F6788" w:rsidR="004E7F60" w:rsidRPr="00C12FDB" w:rsidRDefault="004E7F60" w:rsidP="009413EC">
            <w:pPr>
              <w:spacing w:before="60" w:after="60"/>
              <w:jc w:val="both"/>
              <w:rPr>
                <w:rFonts w:cs="Arial"/>
              </w:rPr>
            </w:pPr>
            <w:r>
              <w:t>Caso se aplique uma tarifação por zona, indique o método utilizado para determinar essa tarifação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3E33" w14:textId="4DFF3BBA" w:rsidR="004E7F60" w:rsidRPr="00C12FDB" w:rsidRDefault="004E7F60" w:rsidP="005365D8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A tarifação por zona acima indicada corresponde à distância média real ponderada percorrida pelas encomendas de chegada do operador designado</w:t>
            </w:r>
            <w:r w:rsidRPr="00C12FDB">
              <w:rPr>
                <w:rStyle w:val="Appelnotedebasdep"/>
                <w:rFonts w:cs="Arial"/>
              </w:rPr>
              <w:footnoteReference w:id="9"/>
            </w:r>
          </w:p>
          <w:p w14:paraId="628905DD" w14:textId="77777777" w:rsidR="004E7F60" w:rsidRPr="00C12FDB" w:rsidRDefault="004E7F60" w:rsidP="005365D8">
            <w:pPr>
              <w:pageBreakBefore/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tab/>
              <w:t>A tarifação por zona corresponde à tarifa mediana do sistema de tarifas internas por zona</w:t>
            </w:r>
          </w:p>
        </w:tc>
      </w:tr>
      <w:tr w:rsidR="004E7F60" w:rsidRPr="00C12FDB" w14:paraId="424384D2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A67F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Taxa de IVA ou outros impostos incluídos na tarifa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4057F" w14:textId="77777777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</w:p>
        </w:tc>
      </w:tr>
      <w:tr w:rsidR="004E7F60" w:rsidRPr="00C12FDB" w14:paraId="51C00D94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4228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  <w:r>
              <w:t>Formato/categoria no serviço interno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D883" w14:textId="77777777" w:rsidR="004E7F60" w:rsidRPr="00C12FDB" w:rsidRDefault="004E7F60" w:rsidP="0005520D">
            <w:pPr>
              <w:keepNext/>
              <w:keepLines/>
              <w:spacing w:before="60" w:after="60"/>
              <w:rPr>
                <w:rFonts w:cs="Arial"/>
              </w:rPr>
            </w:pPr>
          </w:p>
        </w:tc>
      </w:tr>
      <w:tr w:rsidR="004E7F60" w:rsidRPr="00C12FDB" w14:paraId="1700E949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5C77F" w14:textId="25E752F9" w:rsidR="004E7F60" w:rsidRPr="00C12FDB" w:rsidRDefault="004E7F60" w:rsidP="0005520D">
            <w:pPr>
              <w:spacing w:before="60" w:after="60"/>
              <w:jc w:val="both"/>
              <w:rPr>
                <w:rFonts w:cs="Arial"/>
              </w:rPr>
            </w:pPr>
            <w:r>
              <w:t>Indique se o comprovativo de entrega está incluído no serviço de base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34015" w14:textId="4D42C178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Sim</w:t>
            </w:r>
          </w:p>
          <w:p w14:paraId="2FCE4384" w14:textId="1504EE04" w:rsidR="004E7F60" w:rsidRPr="00C12FDB" w:rsidRDefault="004E7F60" w:rsidP="00AD7FFE">
            <w:pPr>
              <w:spacing w:before="60" w:after="60"/>
              <w:ind w:left="340" w:hanging="340"/>
              <w:jc w:val="both"/>
              <w:rPr>
                <w:rFonts w:cs="Arial"/>
              </w:rPr>
            </w:pPr>
            <w:r>
              <w:rPr>
                <w:sz w:val="24"/>
              </w:rPr>
              <w:sym w:font="Wingdings" w:char="F072"/>
            </w:r>
            <w:r>
              <w:rPr>
                <w:sz w:val="24"/>
              </w:rPr>
              <w:tab/>
            </w:r>
            <w:r>
              <w:t>Não</w:t>
            </w:r>
          </w:p>
        </w:tc>
      </w:tr>
      <w:tr w:rsidR="004E7F60" w:rsidRPr="00C12FDB" w14:paraId="742CD597" w14:textId="77777777" w:rsidTr="0005520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5031" w14:textId="77777777" w:rsidR="004E7F60" w:rsidRPr="00C12FDB" w:rsidRDefault="004E7F60" w:rsidP="004B3B07">
            <w:pPr>
              <w:spacing w:before="60" w:after="60"/>
              <w:jc w:val="both"/>
              <w:rPr>
                <w:rFonts w:cs="Arial"/>
              </w:rPr>
            </w:pPr>
            <w:r>
              <w:rPr>
                <w:i/>
                <w:iCs/>
              </w:rPr>
              <w:t>Site</w:t>
            </w:r>
            <w:r>
              <w:t xml:space="preserve"> onde estas informações podem ser consultadas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23E6" w14:textId="77777777" w:rsidR="004E7F60" w:rsidRPr="00C12FDB" w:rsidRDefault="004E7F60" w:rsidP="0005520D">
            <w:pPr>
              <w:spacing w:before="60" w:after="60"/>
              <w:rPr>
                <w:rFonts w:cs="Arial"/>
              </w:rPr>
            </w:pPr>
          </w:p>
        </w:tc>
      </w:tr>
    </w:tbl>
    <w:p w14:paraId="37C86B50" w14:textId="77777777" w:rsidR="000E77C3" w:rsidRPr="00C12FDB" w:rsidRDefault="000E77C3" w:rsidP="00BA032E">
      <w:pPr>
        <w:pStyle w:val="Textedebase"/>
        <w:rPr>
          <w:rFonts w:cs="Arial"/>
        </w:rPr>
      </w:pPr>
    </w:p>
    <w:sectPr w:rsidR="000E77C3" w:rsidRPr="00C12FDB" w:rsidSect="003118BD">
      <w:headerReference w:type="even" r:id="rId12"/>
      <w:head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851" w:bottom="1134" w:left="1418" w:header="709" w:footer="709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7A91" w14:textId="77777777" w:rsidR="00A95B66" w:rsidRDefault="00A95B66">
      <w:pPr>
        <w:spacing w:after="120"/>
        <w:rPr>
          <w:sz w:val="18"/>
        </w:rPr>
      </w:pPr>
      <w:r>
        <w:rPr>
          <w:sz w:val="18"/>
        </w:rPr>
        <w:t>____________</w:t>
      </w:r>
    </w:p>
  </w:endnote>
  <w:endnote w:type="continuationSeparator" w:id="0">
    <w:p w14:paraId="6FC8E451" w14:textId="77777777" w:rsidR="00A95B66" w:rsidRDefault="00A9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45 Helvetica 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B9AE9" w14:textId="77777777" w:rsidR="00D66419" w:rsidRDefault="00D66419" w:rsidP="00D66419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B54E" w14:textId="77777777" w:rsidR="00A95B66" w:rsidRDefault="00A95B66" w:rsidP="009E7ADC">
      <w:pPr>
        <w:rPr>
          <w:sz w:val="18"/>
        </w:rPr>
      </w:pPr>
    </w:p>
  </w:footnote>
  <w:footnote w:type="continuationSeparator" w:id="0">
    <w:p w14:paraId="35A59B1F" w14:textId="77777777" w:rsidR="00A95B66" w:rsidRDefault="00A95B66" w:rsidP="009E7ADC"/>
  </w:footnote>
  <w:footnote w:type="continuationNotice" w:id="1">
    <w:p w14:paraId="0E8B0657" w14:textId="77777777" w:rsidR="00A95B66" w:rsidRDefault="00A95B66" w:rsidP="004E2B3B"/>
  </w:footnote>
  <w:footnote w:id="2">
    <w:p w14:paraId="7A41434D" w14:textId="77777777" w:rsidR="004E7F60" w:rsidRPr="00893A0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Se um operador designado autodeclarar taxas suplementares para a distribuição das encomendas postais nas zonas não contíguas, é necessário preencher a ferramenta de cálculo das taxas de remuneração das encomendas (upu.int/en/parcels) e enviá-la junto com a presente notificação.</w:t>
      </w:r>
    </w:p>
  </w:footnote>
  <w:footnote w:id="3">
    <w:p w14:paraId="34BFE42C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Sob reserva da adoção, pelo COP, da proposta contida no documento CEP C 2 2026.1–Doc 7.Annexe 44 durante a sessão 2026.1 do COP (sessão S1), se o operador designado escolher aplicar o método da distância média para as tarifas por zona, a distância média acompanhada dos dados comprovativos deve ser comunicada antes ou com a declaração oficial. Esta proposta deverá entrar em vigor em 1 de janeiro de 2027 e resulta das decisões do Congresso de Dubai.</w:t>
      </w:r>
    </w:p>
  </w:footnote>
  <w:footnote w:id="4">
    <w:p w14:paraId="40A147EC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De acordo com o artigo 33-201.4 do Regulamento da Convenção, se o operador designado escolher aplicar o método da distância média para as tarifas por zona, a distância média acompanhada dos dados comprovativos deve ser comunicada antes ou com a declaração oficial. Este artigo está a aguardar alterações consequentes decorrentes das decisões do Congresso de Dubai e deverá entrar em vigor em 1 de janeiro de 2027.</w:t>
      </w:r>
    </w:p>
  </w:footnote>
  <w:footnote w:id="5">
    <w:p w14:paraId="0650FDB5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De acordo com o artigo 33-201.4 do Regulamento da Convenção, se o operador designado escolher aplicar o método da distância média para as tarifas por zona, a distância média acompanhada dos dados comprovativos deve ser comunicada antes ou com a declaração oficial. Este artigo está a aguardar alterações consequentes decorrentes das decisões do Congresso de Dubai e deverá entrar em vigor em 1 de janeiro de 2027.</w:t>
      </w:r>
    </w:p>
  </w:footnote>
  <w:footnote w:id="6">
    <w:p w14:paraId="6C21BB7A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De acordo com o artigo 33-201.4 do Regulamento da Convenção, se o operador designado escolher aplicar o método da distância média para as tarifas por zona, a distância média acompanhada dos dados comprovativos deve ser comunicada antes ou com a declaração oficial. Este artigo está a aguardar alterações consequentes decorrentes das decisões do Congresso de Dubai e deverá entrar em vigor em 1 de janeiro de 2027.</w:t>
      </w:r>
    </w:p>
  </w:footnote>
  <w:footnote w:id="7">
    <w:p w14:paraId="65223666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De acordo com o artigo 33-201.4 do Regulamento da Convenção, se o operador designado escolher aplicar o método da distância média para as tarifas por zona, a distância média acompanhada dos dados comprovativos deve ser comunicada antes ou com a declaração oficial. Este artigo está a aguardar alterações consequentes decorrentes das decisões do Congresso de Dubai e deverá entrar em vigor em 1 de janeiro de 2027.</w:t>
      </w:r>
    </w:p>
  </w:footnote>
  <w:footnote w:id="8">
    <w:p w14:paraId="6C8DC34A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De acordo com o artigo 33-201.4 do Regulamento da Convenção, se o operador designado escolher aplicar o método da distância média para as tarifas por zona, a distância média acompanhada dos dados comprovativos deve ser comunicada antes ou com a declaração oficial. Este artigo está a aguardar alterações consequentes decorrentes das decisões do Congresso de Dubai e deverá entrar em vigor em 1 de janeiro de 2027.</w:t>
      </w:r>
    </w:p>
  </w:footnote>
  <w:footnote w:id="9">
    <w:p w14:paraId="1589DEBA" w14:textId="77777777" w:rsidR="004E7F60" w:rsidRDefault="004E7F60" w:rsidP="004E7F60">
      <w:pPr>
        <w:pStyle w:val="Notedebasdepage"/>
      </w:pPr>
      <w:r>
        <w:rPr>
          <w:rStyle w:val="Appelnotedebasdep"/>
        </w:rPr>
        <w:footnoteRef/>
      </w:r>
      <w:r>
        <w:t xml:space="preserve"> De acordo com o artigo 33-201.4 do Regulamento da Convenção, se o operador designado escolher aplicar o método da distância média para as tarifas por zona, a distância média acompanhada dos dados comprovativos deve ser comunicada antes ou com a declaração oficial. Este artigo está a aguardar alterações consequentes decorrentes das decisões do Congresso de Dubai e deverá entrar em vigor em 1 de janeiro de 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63AF" w14:textId="77777777" w:rsidR="00527FF5" w:rsidRDefault="00527FF5">
    <w:pPr>
      <w:jc w:val="center"/>
    </w:pPr>
    <w:r>
      <w:pgNum/>
    </w:r>
  </w:p>
  <w:p w14:paraId="6D7B07F0" w14:textId="77777777" w:rsidR="00527FF5" w:rsidRDefault="00527FF5">
    <w:pPr>
      <w:tabs>
        <w:tab w:val="center" w:pos="396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55C9" w14:textId="77777777" w:rsidR="00527FF5" w:rsidRDefault="00527FF5" w:rsidP="00F639BA">
    <w:pPr>
      <w:jc w:val="center"/>
    </w:pPr>
    <w:r>
      <w:pgNum/>
    </w:r>
  </w:p>
  <w:p w14:paraId="3A41C8DA" w14:textId="77777777" w:rsidR="00527FF5" w:rsidRDefault="00527FF5" w:rsidP="00F639BA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5670"/>
    </w:tblGrid>
    <w:tr w:rsidR="00F87364" w:rsidRPr="001813EE" w14:paraId="179FB68C" w14:textId="77777777">
      <w:trPr>
        <w:trHeight w:val="1418"/>
      </w:trPr>
      <w:tc>
        <w:tcPr>
          <w:tcW w:w="3969" w:type="dxa"/>
        </w:tcPr>
        <w:p w14:paraId="4014216E" w14:textId="75523224" w:rsidR="00F87364" w:rsidRDefault="00E23D7A" w:rsidP="00AE0D85">
          <w:pPr>
            <w:pStyle w:val="En-tte"/>
            <w:spacing w:before="20" w:after="1180"/>
            <w:rPr>
              <w:rFonts w:ascii="45 Helvetica Light" w:hAnsi="45 Helvetica Light"/>
              <w:sz w:val="18"/>
            </w:rPr>
          </w:pPr>
          <w:r>
            <w:rPr>
              <w:noProof/>
            </w:rPr>
            <w:drawing>
              <wp:inline distT="0" distB="0" distL="0" distR="0" wp14:anchorId="27DE695E" wp14:editId="11BC0681">
                <wp:extent cx="1568450" cy="42227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845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4948C566" w14:textId="77777777" w:rsidR="004E7F60" w:rsidRPr="004E7F60" w:rsidRDefault="004E7F60" w:rsidP="004E7F60">
          <w:pPr>
            <w:autoSpaceDE w:val="0"/>
            <w:autoSpaceDN w:val="0"/>
            <w:adjustRightInd w:val="0"/>
            <w:jc w:val="right"/>
          </w:pPr>
          <w:r>
            <w:t>Anexo 1 à carta 0426(DPRM.PPRE.RDI)1026</w:t>
          </w:r>
        </w:p>
        <w:p w14:paraId="5F533EDE" w14:textId="07C9BD1D" w:rsidR="00F87364" w:rsidRPr="001813EE" w:rsidRDefault="004E7F60" w:rsidP="004E7F60">
          <w:pPr>
            <w:autoSpaceDE w:val="0"/>
            <w:autoSpaceDN w:val="0"/>
            <w:adjustRightInd w:val="0"/>
            <w:jc w:val="right"/>
          </w:pPr>
          <w:r>
            <w:t>de 26 de março de 2026</w:t>
          </w:r>
        </w:p>
      </w:tc>
    </w:tr>
  </w:tbl>
  <w:p w14:paraId="652AE1EA" w14:textId="77777777" w:rsidR="003104EA" w:rsidRPr="00376861" w:rsidRDefault="003104EA" w:rsidP="00376861">
    <w:pPr>
      <w:spacing w:line="20" w:lineRule="exac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F55F1"/>
    <w:multiLevelType w:val="singleLevel"/>
    <w:tmpl w:val="6FDE3594"/>
    <w:lvl w:ilvl="0">
      <w:numFmt w:val="bullet"/>
      <w:pStyle w:val="Premierretrait"/>
      <w:lvlText w:val="–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1" w15:restartNumberingAfterBreak="0">
    <w:nsid w:val="0BFE4B9E"/>
    <w:multiLevelType w:val="singleLevel"/>
    <w:tmpl w:val="53CAD4B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DA519FE"/>
    <w:multiLevelType w:val="singleLevel"/>
    <w:tmpl w:val="792E75B4"/>
    <w:lvl w:ilvl="0">
      <w:numFmt w:val="bullet"/>
      <w:pStyle w:val="Troisimeretrai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cs="Times New Roman" w:hint="default"/>
        <w:b w:val="0"/>
        <w:i w:val="0"/>
        <w:sz w:val="20"/>
        <w:szCs w:val="20"/>
      </w:rPr>
    </w:lvl>
  </w:abstractNum>
  <w:abstractNum w:abstractNumId="3" w15:restartNumberingAfterBreak="0">
    <w:nsid w:val="17607423"/>
    <w:multiLevelType w:val="singleLevel"/>
    <w:tmpl w:val="68B430E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23495A77"/>
    <w:multiLevelType w:val="singleLevel"/>
    <w:tmpl w:val="F9FCD4B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5" w15:restartNumberingAfterBreak="0">
    <w:nsid w:val="23B76B72"/>
    <w:multiLevelType w:val="singleLevel"/>
    <w:tmpl w:val="7B20140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310D0657"/>
    <w:multiLevelType w:val="hybridMultilevel"/>
    <w:tmpl w:val="D16E0636"/>
    <w:lvl w:ilvl="0" w:tplc="B8CE624E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C256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DE7C3C"/>
    <w:multiLevelType w:val="singleLevel"/>
    <w:tmpl w:val="A260D1F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51F27939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0" w15:restartNumberingAfterBreak="0">
    <w:nsid w:val="55F909E6"/>
    <w:multiLevelType w:val="singleLevel"/>
    <w:tmpl w:val="DF2C502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5F504A41"/>
    <w:multiLevelType w:val="singleLevel"/>
    <w:tmpl w:val="776876A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6ADB125E"/>
    <w:multiLevelType w:val="singleLevel"/>
    <w:tmpl w:val="6C240948"/>
    <w:lvl w:ilvl="0">
      <w:numFmt w:val="bullet"/>
      <w:pStyle w:val="Deuximeretrai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</w:abstractNum>
  <w:abstractNum w:abstractNumId="13" w15:restartNumberingAfterBreak="0">
    <w:nsid w:val="6E645198"/>
    <w:multiLevelType w:val="singleLevel"/>
    <w:tmpl w:val="BE1852BE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4" w15:restartNumberingAfterBreak="0">
    <w:nsid w:val="77F71C6B"/>
    <w:multiLevelType w:val="singleLevel"/>
    <w:tmpl w:val="0F5C8B0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 w15:restartNumberingAfterBreak="0">
    <w:nsid w:val="7ECE7BB1"/>
    <w:multiLevelType w:val="singleLevel"/>
    <w:tmpl w:val="3ADA351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3"/>
  </w:num>
  <w:num w:numId="13">
    <w:abstractNumId w:val="0"/>
  </w:num>
  <w:num w:numId="14">
    <w:abstractNumId w:val="12"/>
  </w:num>
  <w:num w:numId="15">
    <w:abstractNumId w:val="2"/>
  </w:num>
  <w:num w:numId="16">
    <w:abstractNumId w:val="12"/>
  </w:num>
  <w:num w:numId="17">
    <w:abstractNumId w:val="0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66"/>
    <w:rsid w:val="000021DD"/>
    <w:rsid w:val="00004D2B"/>
    <w:rsid w:val="0002298F"/>
    <w:rsid w:val="00023669"/>
    <w:rsid w:val="00026EC5"/>
    <w:rsid w:val="000465C9"/>
    <w:rsid w:val="000B24C3"/>
    <w:rsid w:val="000D1BB1"/>
    <w:rsid w:val="000E0AB2"/>
    <w:rsid w:val="000E77C3"/>
    <w:rsid w:val="001006F4"/>
    <w:rsid w:val="00104F21"/>
    <w:rsid w:val="0011269C"/>
    <w:rsid w:val="00121A6F"/>
    <w:rsid w:val="001567C5"/>
    <w:rsid w:val="00161F92"/>
    <w:rsid w:val="0016521C"/>
    <w:rsid w:val="0017006D"/>
    <w:rsid w:val="00172757"/>
    <w:rsid w:val="0017583D"/>
    <w:rsid w:val="001813EE"/>
    <w:rsid w:val="001A4314"/>
    <w:rsid w:val="00232DCA"/>
    <w:rsid w:val="00243219"/>
    <w:rsid w:val="00261EAE"/>
    <w:rsid w:val="0026706D"/>
    <w:rsid w:val="00272937"/>
    <w:rsid w:val="00282124"/>
    <w:rsid w:val="0029168C"/>
    <w:rsid w:val="002A3142"/>
    <w:rsid w:val="002A663B"/>
    <w:rsid w:val="002B1B7A"/>
    <w:rsid w:val="002B2A67"/>
    <w:rsid w:val="002B66E8"/>
    <w:rsid w:val="002C3576"/>
    <w:rsid w:val="002F7773"/>
    <w:rsid w:val="003002DC"/>
    <w:rsid w:val="003104EA"/>
    <w:rsid w:val="003118BD"/>
    <w:rsid w:val="00325076"/>
    <w:rsid w:val="00325132"/>
    <w:rsid w:val="00331C6E"/>
    <w:rsid w:val="003405FB"/>
    <w:rsid w:val="003407BC"/>
    <w:rsid w:val="00342CD6"/>
    <w:rsid w:val="00343FF6"/>
    <w:rsid w:val="00355163"/>
    <w:rsid w:val="00361DE6"/>
    <w:rsid w:val="00372B67"/>
    <w:rsid w:val="0037420A"/>
    <w:rsid w:val="003750AE"/>
    <w:rsid w:val="00376861"/>
    <w:rsid w:val="003B1F46"/>
    <w:rsid w:val="00422F57"/>
    <w:rsid w:val="0046077D"/>
    <w:rsid w:val="004611D5"/>
    <w:rsid w:val="00471CE5"/>
    <w:rsid w:val="004A31FB"/>
    <w:rsid w:val="004A6F3C"/>
    <w:rsid w:val="004B3B07"/>
    <w:rsid w:val="004C4EBF"/>
    <w:rsid w:val="004C6BEE"/>
    <w:rsid w:val="004D03CA"/>
    <w:rsid w:val="004D221E"/>
    <w:rsid w:val="004D2DA6"/>
    <w:rsid w:val="004E05F3"/>
    <w:rsid w:val="004E1F28"/>
    <w:rsid w:val="004E2B3B"/>
    <w:rsid w:val="004E63E4"/>
    <w:rsid w:val="004E7F60"/>
    <w:rsid w:val="0051701F"/>
    <w:rsid w:val="00527FF5"/>
    <w:rsid w:val="005345AF"/>
    <w:rsid w:val="005365D8"/>
    <w:rsid w:val="00565476"/>
    <w:rsid w:val="00570EDB"/>
    <w:rsid w:val="005749CB"/>
    <w:rsid w:val="00577828"/>
    <w:rsid w:val="00590BBB"/>
    <w:rsid w:val="00593514"/>
    <w:rsid w:val="005A1FD5"/>
    <w:rsid w:val="005B20C7"/>
    <w:rsid w:val="005C2838"/>
    <w:rsid w:val="005D36DD"/>
    <w:rsid w:val="005D36F8"/>
    <w:rsid w:val="005D42D7"/>
    <w:rsid w:val="005D7F27"/>
    <w:rsid w:val="005E5DC2"/>
    <w:rsid w:val="005F0892"/>
    <w:rsid w:val="005F4A1C"/>
    <w:rsid w:val="005F7916"/>
    <w:rsid w:val="0060040B"/>
    <w:rsid w:val="00637585"/>
    <w:rsid w:val="00643F80"/>
    <w:rsid w:val="00653717"/>
    <w:rsid w:val="00653FFD"/>
    <w:rsid w:val="00654B91"/>
    <w:rsid w:val="00656A8B"/>
    <w:rsid w:val="006724B1"/>
    <w:rsid w:val="006A79AB"/>
    <w:rsid w:val="006B1882"/>
    <w:rsid w:val="006C019C"/>
    <w:rsid w:val="006C47EF"/>
    <w:rsid w:val="006D5D8D"/>
    <w:rsid w:val="006E1515"/>
    <w:rsid w:val="006E36B1"/>
    <w:rsid w:val="00717D08"/>
    <w:rsid w:val="00756C4A"/>
    <w:rsid w:val="00757BB9"/>
    <w:rsid w:val="00761DEC"/>
    <w:rsid w:val="0076291C"/>
    <w:rsid w:val="00765B70"/>
    <w:rsid w:val="0077420D"/>
    <w:rsid w:val="00780CBD"/>
    <w:rsid w:val="00783C7C"/>
    <w:rsid w:val="007A2839"/>
    <w:rsid w:val="007B6036"/>
    <w:rsid w:val="007C679A"/>
    <w:rsid w:val="007D07CD"/>
    <w:rsid w:val="007D2933"/>
    <w:rsid w:val="007D6956"/>
    <w:rsid w:val="007E0A42"/>
    <w:rsid w:val="007F6E68"/>
    <w:rsid w:val="00857B50"/>
    <w:rsid w:val="0087570D"/>
    <w:rsid w:val="00894CD8"/>
    <w:rsid w:val="00897E26"/>
    <w:rsid w:val="008A32DA"/>
    <w:rsid w:val="008A5A68"/>
    <w:rsid w:val="008B7E25"/>
    <w:rsid w:val="008D3810"/>
    <w:rsid w:val="008E54AA"/>
    <w:rsid w:val="008E7619"/>
    <w:rsid w:val="008F12A9"/>
    <w:rsid w:val="0091074C"/>
    <w:rsid w:val="00922D3C"/>
    <w:rsid w:val="00932DC4"/>
    <w:rsid w:val="009413EC"/>
    <w:rsid w:val="009434D3"/>
    <w:rsid w:val="00953938"/>
    <w:rsid w:val="009569DE"/>
    <w:rsid w:val="00957FCD"/>
    <w:rsid w:val="00974119"/>
    <w:rsid w:val="009B449A"/>
    <w:rsid w:val="009C5BD0"/>
    <w:rsid w:val="009D77AD"/>
    <w:rsid w:val="009E4ABB"/>
    <w:rsid w:val="009E7ADC"/>
    <w:rsid w:val="009F110E"/>
    <w:rsid w:val="009F36E2"/>
    <w:rsid w:val="009F54AE"/>
    <w:rsid w:val="00A06C89"/>
    <w:rsid w:val="00A418A0"/>
    <w:rsid w:val="00A455D1"/>
    <w:rsid w:val="00A53E1E"/>
    <w:rsid w:val="00A5792F"/>
    <w:rsid w:val="00A6703E"/>
    <w:rsid w:val="00A73891"/>
    <w:rsid w:val="00A809D7"/>
    <w:rsid w:val="00A92377"/>
    <w:rsid w:val="00A95B66"/>
    <w:rsid w:val="00AA01D2"/>
    <w:rsid w:val="00AA61ED"/>
    <w:rsid w:val="00AB7653"/>
    <w:rsid w:val="00AC2359"/>
    <w:rsid w:val="00AD7FFE"/>
    <w:rsid w:val="00AE0D85"/>
    <w:rsid w:val="00AE2BF2"/>
    <w:rsid w:val="00B00E3F"/>
    <w:rsid w:val="00B010D9"/>
    <w:rsid w:val="00B11447"/>
    <w:rsid w:val="00B1711E"/>
    <w:rsid w:val="00B262DA"/>
    <w:rsid w:val="00B30CB2"/>
    <w:rsid w:val="00B40E14"/>
    <w:rsid w:val="00B458DD"/>
    <w:rsid w:val="00B7190D"/>
    <w:rsid w:val="00B838AD"/>
    <w:rsid w:val="00B86608"/>
    <w:rsid w:val="00BA032E"/>
    <w:rsid w:val="00BA404F"/>
    <w:rsid w:val="00BC0807"/>
    <w:rsid w:val="00BC1442"/>
    <w:rsid w:val="00BC4919"/>
    <w:rsid w:val="00BF2822"/>
    <w:rsid w:val="00BF2F28"/>
    <w:rsid w:val="00BF5B9E"/>
    <w:rsid w:val="00C0653D"/>
    <w:rsid w:val="00C06D24"/>
    <w:rsid w:val="00C12FDB"/>
    <w:rsid w:val="00C17350"/>
    <w:rsid w:val="00C21452"/>
    <w:rsid w:val="00C21FDE"/>
    <w:rsid w:val="00C2769E"/>
    <w:rsid w:val="00C35110"/>
    <w:rsid w:val="00C402AE"/>
    <w:rsid w:val="00C74B88"/>
    <w:rsid w:val="00C903B8"/>
    <w:rsid w:val="00C91301"/>
    <w:rsid w:val="00C91C2F"/>
    <w:rsid w:val="00CA3D20"/>
    <w:rsid w:val="00CB2FA6"/>
    <w:rsid w:val="00CC0402"/>
    <w:rsid w:val="00CC3161"/>
    <w:rsid w:val="00CC7367"/>
    <w:rsid w:val="00CD03E7"/>
    <w:rsid w:val="00CE2270"/>
    <w:rsid w:val="00D154F8"/>
    <w:rsid w:val="00D3589B"/>
    <w:rsid w:val="00D35C56"/>
    <w:rsid w:val="00D50254"/>
    <w:rsid w:val="00D608B5"/>
    <w:rsid w:val="00D61B31"/>
    <w:rsid w:val="00D64064"/>
    <w:rsid w:val="00D66419"/>
    <w:rsid w:val="00D66509"/>
    <w:rsid w:val="00D73262"/>
    <w:rsid w:val="00D73A0A"/>
    <w:rsid w:val="00DA23C3"/>
    <w:rsid w:val="00DA49AB"/>
    <w:rsid w:val="00DA646A"/>
    <w:rsid w:val="00DB7EC0"/>
    <w:rsid w:val="00DC4D86"/>
    <w:rsid w:val="00E048A5"/>
    <w:rsid w:val="00E10CD5"/>
    <w:rsid w:val="00E23D7A"/>
    <w:rsid w:val="00E270C8"/>
    <w:rsid w:val="00E31D00"/>
    <w:rsid w:val="00E3448B"/>
    <w:rsid w:val="00E72B05"/>
    <w:rsid w:val="00E76C5C"/>
    <w:rsid w:val="00EA7598"/>
    <w:rsid w:val="00ED183A"/>
    <w:rsid w:val="00ED63F7"/>
    <w:rsid w:val="00ED6707"/>
    <w:rsid w:val="00ED7E1E"/>
    <w:rsid w:val="00EE2A54"/>
    <w:rsid w:val="00F11A72"/>
    <w:rsid w:val="00F15EB7"/>
    <w:rsid w:val="00F33A54"/>
    <w:rsid w:val="00F33FBC"/>
    <w:rsid w:val="00F521BF"/>
    <w:rsid w:val="00F6214A"/>
    <w:rsid w:val="00F62978"/>
    <w:rsid w:val="00F639BA"/>
    <w:rsid w:val="00F848AD"/>
    <w:rsid w:val="00F87364"/>
    <w:rsid w:val="00F87A5B"/>
    <w:rsid w:val="00F963C3"/>
    <w:rsid w:val="00FA2EFC"/>
    <w:rsid w:val="00FC5E68"/>
    <w:rsid w:val="00FD4FD5"/>
    <w:rsid w:val="00FE6153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6C65C4A"/>
  <w15:docId w15:val="{3E0BB523-6111-4EA3-8A19-E5E466B9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pt-P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F60"/>
    <w:pPr>
      <w:spacing w:line="240" w:lineRule="atLeast"/>
    </w:pPr>
    <w:rPr>
      <w:rFonts w:ascii="Arial" w:hAnsi="Arial"/>
      <w:lang w:eastAsia="fr-CH"/>
    </w:rPr>
  </w:style>
  <w:style w:type="paragraph" w:styleId="Titre1">
    <w:name w:val="heading 1"/>
    <w:basedOn w:val="Normal"/>
    <w:next w:val="Textedebase"/>
    <w:qFormat/>
    <w:pPr>
      <w:ind w:left="567" w:hanging="567"/>
      <w:jc w:val="both"/>
      <w:outlineLvl w:val="0"/>
    </w:pPr>
    <w:rPr>
      <w:b/>
      <w:bCs/>
    </w:rPr>
  </w:style>
  <w:style w:type="paragraph" w:styleId="Titre2">
    <w:name w:val="heading 2"/>
    <w:basedOn w:val="Normal"/>
    <w:next w:val="Textedebase"/>
    <w:qFormat/>
    <w:pPr>
      <w:ind w:left="567" w:hanging="567"/>
      <w:jc w:val="both"/>
      <w:outlineLvl w:val="1"/>
    </w:pPr>
    <w:rPr>
      <w:i/>
      <w:iCs/>
    </w:rPr>
  </w:style>
  <w:style w:type="paragraph" w:styleId="Titre3">
    <w:name w:val="heading 3"/>
    <w:basedOn w:val="Normal"/>
    <w:next w:val="Textedebase"/>
    <w:qFormat/>
    <w:pPr>
      <w:tabs>
        <w:tab w:val="left" w:pos="567"/>
      </w:tabs>
      <w:jc w:val="both"/>
      <w:outlineLvl w:val="2"/>
    </w:pPr>
  </w:style>
  <w:style w:type="paragraph" w:styleId="Titre4">
    <w:name w:val="heading 4"/>
    <w:basedOn w:val="Normal"/>
    <w:next w:val="Normal"/>
    <w:qFormat/>
    <w:rsid w:val="008D3810"/>
    <w:pPr>
      <w:outlineLvl w:val="3"/>
    </w:pPr>
    <w:rPr>
      <w:rFonts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  <w:semiHidden/>
    <w:rPr>
      <w:sz w:val="20"/>
      <w:szCs w:val="20"/>
      <w:vertAlign w:val="superscript"/>
    </w:rPr>
  </w:style>
  <w:style w:type="paragraph" w:customStyle="1" w:styleId="2Texte">
    <w:name w:val="2 (Texte)"/>
    <w:basedOn w:val="Normal"/>
    <w:pPr>
      <w:jc w:val="both"/>
    </w:pPr>
    <w:rPr>
      <w:snapToGrid w:val="0"/>
      <w:lang w:eastAsia="fr-FR"/>
    </w:rPr>
  </w:style>
  <w:style w:type="paragraph" w:customStyle="1" w:styleId="Textedebase">
    <w:name w:val="Texte de base"/>
    <w:basedOn w:val="Normal"/>
    <w:rsid w:val="00AE0D85"/>
    <w:pPr>
      <w:jc w:val="both"/>
    </w:pPr>
  </w:style>
  <w:style w:type="paragraph" w:customStyle="1" w:styleId="Premierretrait">
    <w:name w:val="Premier retrait"/>
    <w:basedOn w:val="Textedebase"/>
    <w:rsid w:val="009E4ABB"/>
    <w:pPr>
      <w:numPr>
        <w:numId w:val="17"/>
      </w:numPr>
      <w:spacing w:before="120"/>
    </w:pPr>
  </w:style>
  <w:style w:type="paragraph" w:customStyle="1" w:styleId="Deuximeretrait">
    <w:name w:val="Deuxième retrait"/>
    <w:basedOn w:val="Textedebase"/>
    <w:pPr>
      <w:numPr>
        <w:numId w:val="16"/>
      </w:numPr>
      <w:spacing w:before="120"/>
    </w:pPr>
  </w:style>
  <w:style w:type="paragraph" w:customStyle="1" w:styleId="Troisimeretrait">
    <w:name w:val="Troisième retrait"/>
    <w:basedOn w:val="Textedebase"/>
    <w:rsid w:val="009E4ABB"/>
    <w:pPr>
      <w:numPr>
        <w:numId w:val="18"/>
      </w:numPr>
      <w:spacing w:before="120"/>
    </w:pPr>
  </w:style>
  <w:style w:type="paragraph" w:styleId="Notedebasdepage">
    <w:name w:val="footnote text"/>
    <w:basedOn w:val="Normal"/>
    <w:link w:val="NotedebasdepageCar"/>
    <w:uiPriority w:val="99"/>
    <w:semiHidden/>
    <w:rsid w:val="00ED6707"/>
    <w:pPr>
      <w:spacing w:line="240" w:lineRule="auto"/>
      <w:jc w:val="both"/>
    </w:pPr>
    <w:rPr>
      <w:sz w:val="18"/>
      <w:szCs w:val="18"/>
    </w:rPr>
  </w:style>
  <w:style w:type="paragraph" w:styleId="Pieddepage">
    <w:name w:val="footer"/>
    <w:basedOn w:val="Normal"/>
    <w:rsid w:val="009F110E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semiHidden/>
    <w:pPr>
      <w:spacing w:line="240" w:lineRule="auto"/>
      <w:ind w:left="284" w:hanging="284"/>
      <w:jc w:val="both"/>
    </w:pPr>
    <w:rPr>
      <w:sz w:val="18"/>
      <w:szCs w:val="18"/>
    </w:rPr>
  </w:style>
  <w:style w:type="character" w:styleId="Appeldenotedefin">
    <w:name w:val="endnote reference"/>
    <w:semiHidden/>
    <w:rPr>
      <w:sz w:val="20"/>
      <w:szCs w:val="20"/>
      <w:vertAlign w:val="superscript"/>
    </w:rPr>
  </w:style>
  <w:style w:type="paragraph" w:customStyle="1" w:styleId="0Minute">
    <w:name w:val="0 Minute"/>
    <w:basedOn w:val="Normal"/>
    <w:rsid w:val="008E54AA"/>
    <w:rPr>
      <w:vanish/>
    </w:rPr>
  </w:style>
  <w:style w:type="character" w:styleId="Lienhypertexte">
    <w:name w:val="Hyperlink"/>
    <w:rsid w:val="009F110E"/>
    <w:rPr>
      <w:rFonts w:ascii="Arial" w:hAnsi="Arial"/>
      <w:color w:val="auto"/>
      <w:u w:val="none"/>
    </w:rPr>
  </w:style>
  <w:style w:type="paragraph" w:styleId="Textedebulles">
    <w:name w:val="Balloon Text"/>
    <w:basedOn w:val="Normal"/>
    <w:semiHidden/>
    <w:rsid w:val="00A5792F"/>
    <w:rPr>
      <w:rFonts w:ascii="Tahoma" w:hAnsi="Tahoma" w:cs="Tahoma"/>
      <w:sz w:val="16"/>
      <w:szCs w:val="16"/>
    </w:rPr>
  </w:style>
  <w:style w:type="paragraph" w:customStyle="1" w:styleId="Barredanslamarge">
    <w:name w:val="Barre dans la marge"/>
    <w:basedOn w:val="Normal"/>
    <w:rsid w:val="00593514"/>
    <w:pPr>
      <w:autoSpaceDE w:val="0"/>
      <w:autoSpaceDN w:val="0"/>
      <w:adjustRightInd w:val="0"/>
      <w:jc w:val="both"/>
    </w:pPr>
    <w:rPr>
      <w:rFonts w:cs="Arial"/>
    </w:rPr>
  </w:style>
  <w:style w:type="paragraph" w:customStyle="1" w:styleId="0Textedebase">
    <w:name w:val="0 Texte de base"/>
    <w:basedOn w:val="Normal"/>
    <w:rsid w:val="004E7F60"/>
    <w:pPr>
      <w:jc w:val="both"/>
    </w:pPr>
  </w:style>
  <w:style w:type="paragraph" w:customStyle="1" w:styleId="1Premierretrait">
    <w:name w:val="1 Premier retrait"/>
    <w:basedOn w:val="0Textedebase"/>
    <w:rsid w:val="004E7F60"/>
    <w:pPr>
      <w:tabs>
        <w:tab w:val="num" w:pos="567"/>
      </w:tabs>
      <w:spacing w:before="120"/>
      <w:ind w:left="567" w:hanging="567"/>
    </w:pPr>
  </w:style>
  <w:style w:type="paragraph" w:customStyle="1" w:styleId="3Troisimeretrait">
    <w:name w:val="3 Troisième retrait"/>
    <w:basedOn w:val="0Textedebase"/>
    <w:rsid w:val="004E7F60"/>
    <w:pPr>
      <w:tabs>
        <w:tab w:val="num" w:pos="1701"/>
      </w:tabs>
      <w:spacing w:before="120"/>
      <w:ind w:left="1701" w:hanging="567"/>
    </w:pPr>
  </w:style>
  <w:style w:type="table" w:styleId="Grilledutableau">
    <w:name w:val="Table Grid"/>
    <w:basedOn w:val="TableauNormal"/>
    <w:rsid w:val="004E7F60"/>
    <w:rPr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7F60"/>
    <w:rPr>
      <w:rFonts w:ascii="Arial" w:hAnsi="Arial"/>
      <w:sz w:val="18"/>
      <w:szCs w:val="18"/>
      <w:lang w:val="pt-PT" w:eastAsia="fr-CH"/>
    </w:rPr>
  </w:style>
  <w:style w:type="character" w:styleId="lev">
    <w:name w:val="Strong"/>
    <w:basedOn w:val="Policepardfaut"/>
    <w:uiPriority w:val="22"/>
    <w:qFormat/>
    <w:rsid w:val="004E7F60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F3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urveymonkey.com/r/DFS8SK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\templates\Lettres-fax-circ.%20-%20Letters-Fax-%20IB%20Circ\Lettres-Letters\FR%20Modeles\FR%20Lettre%20annex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GSProductionDocument" ma:contentTypeID="0x010100058EFBD0D35E49E793D404E779D0CFC200A99B90ACDC5B244BA2146F32FB8F9E12" ma:contentTypeVersion="0" ma:contentTypeDescription="Production document" ma:contentTypeScope="" ma:versionID="f4204278b47c5e978e806f0851f4af1a">
  <xsd:schema xmlns:xsd="http://www.w3.org/2001/XMLSchema" xmlns:xs="http://www.w3.org/2001/XMLSchema" xmlns:p="http://schemas.microsoft.com/office/2006/metadata/properties" xmlns:ns2="45bc4347-1e49-4f11-a2de-cdc8b1236453" targetNamespace="http://schemas.microsoft.com/office/2006/metadata/properties" ma:root="true" ma:fieldsID="a4456b6a203e5e68af3c88c9d5b118af" ns2:_="">
    <xsd:import namespace="45bc4347-1e49-4f11-a2de-cdc8b1236453"/>
    <xsd:element name="properties">
      <xsd:complexType>
        <xsd:sequence>
          <xsd:element name="documentManagement">
            <xsd:complexType>
              <xsd:all>
                <xsd:element ref="ns2:PGSOriginalLanguage" minOccurs="0"/>
                <xsd:element ref="ns2:PGSRequester" minOccurs="0"/>
                <xsd:element ref="ns2:PGSRequestAuthor" minOccurs="0"/>
                <xsd:element ref="ns2:PGSDocumentType" minOccurs="0"/>
                <xsd:element ref="ns2:PGSBat" minOccurs="0"/>
                <xsd:element ref="ns2:PGSTitle" minOccurs="0"/>
                <xsd:element ref="ns2:PGSAssociatedRequest" minOccurs="0"/>
                <xsd:element ref="ns2:PGSWordCount" minOccurs="0"/>
                <xsd:element ref="ns2:PGSDirectPublication" minOccurs="0"/>
                <xsd:element ref="ns2:PGSFol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c4347-1e49-4f11-a2de-cdc8b1236453" elementFormDefault="qualified">
    <xsd:import namespace="http://schemas.microsoft.com/office/2006/documentManagement/types"/>
    <xsd:import namespace="http://schemas.microsoft.com/office/infopath/2007/PartnerControls"/>
    <xsd:element name="PGSOriginalLanguage" ma:index="8" nillable="true" ma:displayName="Original language" ma:format="Dropdown" ma:internalName="PGSOriginalLanguage">
      <xsd:simpleType>
        <xsd:restriction base="dms:Choice">
          <xsd:enumeration value="French"/>
          <xsd:enumeration value="English"/>
          <xsd:enumeration value="Arabic"/>
          <xsd:enumeration value="Portuguese"/>
          <xsd:enumeration value="Spanish"/>
          <xsd:enumeration value="Russian"/>
          <xsd:enumeration value="Français"/>
          <xsd:enumeration value="Anglais"/>
          <xsd:enumeration value="Arabe"/>
          <xsd:enumeration value="Portugais"/>
          <xsd:enumeration value="Russe"/>
          <xsd:enumeration value="Espagnol"/>
        </xsd:restriction>
      </xsd:simpleType>
    </xsd:element>
    <xsd:element name="PGSRequester" ma:index="9" nillable="true" ma:displayName="Requester" ma:internalName="PGSRequester">
      <xsd:simpleType>
        <xsd:restriction base="dms:Text"/>
      </xsd:simpleType>
    </xsd:element>
    <xsd:element name="PGSRequestAuthor" ma:index="10" nillable="true" ma:displayName="Author" ma:internalName="PGSRequestAuthor">
      <xsd:simpleType>
        <xsd:restriction base="dms:Text"/>
      </xsd:simpleType>
    </xsd:element>
    <xsd:element name="PGSDocumentType" ma:index="11" nillable="true" ma:displayName="To be published" ma:default="0" ma:internalName="PGSDocumentType">
      <xsd:simpleType>
        <xsd:restriction base="dms:Boolean"/>
      </xsd:simpleType>
    </xsd:element>
    <xsd:element name="PGSBat" ma:index="12" nillable="true" ma:displayName="BAT" ma:default="0" ma:internalName="PGSBat">
      <xsd:simpleType>
        <xsd:restriction base="dms:Boolean"/>
      </xsd:simpleType>
    </xsd:element>
    <xsd:element name="PGSTitle" ma:index="13" nillable="true" ma:displayName="Document title" ma:internalName="PGSTitle">
      <xsd:simpleType>
        <xsd:restriction base="dms:Text"/>
      </xsd:simpleType>
    </xsd:element>
    <xsd:element name="PGSAssociatedRequest" ma:index="14" nillable="true" ma:displayName="Associated request" ma:internalName="PGSAssociatedRequest">
      <xsd:simpleType>
        <xsd:restriction base="dms:Text"/>
      </xsd:simpleType>
    </xsd:element>
    <xsd:element name="PGSWordCount" ma:index="15" nillable="true" ma:displayName="Number of words" ma:internalName="PGSWordCount">
      <xsd:simpleType>
        <xsd:restriction base="dms:Number"/>
      </xsd:simpleType>
    </xsd:element>
    <xsd:element name="PGSDirectPublication" ma:index="16" nillable="true" ma:displayName="Direct publication" ma:default="0" ma:internalName="PGSDirectPublication">
      <xsd:simpleType>
        <xsd:restriction base="dms:Boolean"/>
      </xsd:simpleType>
    </xsd:element>
    <xsd:element name="PGSFolio" ma:index="17" nillable="true" ma:displayName="Folio" ma:internalName="PGSFoli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SBat xmlns="45bc4347-1e49-4f11-a2de-cdc8b1236453">false</PGSBat>
    <PGSWordCount xmlns="45bc4347-1e49-4f11-a2de-cdc8b1236453" xsi:nil="true"/>
    <PGSDirectPublication xmlns="45bc4347-1e49-4f11-a2de-cdc8b1236453">false</PGSDirectPublication>
    <PGSAssociatedRequest xmlns="45bc4347-1e49-4f11-a2de-cdc8b1236453" xsi:nil="true"/>
    <PGSTitle xmlns="45bc4347-1e49-4f11-a2de-cdc8b1236453" xsi:nil="true"/>
    <PGSRequester xmlns="45bc4347-1e49-4f11-a2de-cdc8b1236453" xsi:nil="true"/>
    <PGSFolio xmlns="45bc4347-1e49-4f11-a2de-cdc8b1236453" xsi:nil="true"/>
    <PGSOriginalLanguage xmlns="45bc4347-1e49-4f11-a2de-cdc8b1236453" xsi:nil="true"/>
    <PGSRequestAuthor xmlns="45bc4347-1e49-4f11-a2de-cdc8b1236453" xsi:nil="true"/>
    <PGSDocumentType xmlns="45bc4347-1e49-4f11-a2de-cdc8b1236453">false</PGSDocumentType>
  </documentManagement>
</p:properties>
</file>

<file path=customXml/itemProps1.xml><?xml version="1.0" encoding="utf-8"?>
<ds:datastoreItem xmlns:ds="http://schemas.openxmlformats.org/officeDocument/2006/customXml" ds:itemID="{E9311738-72E0-4EA6-BD97-E31AA8289E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FA197-852E-4FD1-A644-464B2C0C6306}"/>
</file>

<file path=customXml/itemProps3.xml><?xml version="1.0" encoding="utf-8"?>
<ds:datastoreItem xmlns:ds="http://schemas.openxmlformats.org/officeDocument/2006/customXml" ds:itemID="{A87B9CFB-6736-4EDB-9E32-64728BA614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FE9F19-1E31-4921-882B-F61514B8735E}">
  <ds:schemaRefs>
    <ds:schemaRef ds:uri="http://schemas.microsoft.com/office/2006/metadata/properties"/>
    <ds:schemaRef ds:uri="http://schemas.microsoft.com/office/infopath/2007/PartnerControls"/>
    <ds:schemaRef ds:uri="45bc4347-1e49-4f11-a2de-cdc8b12364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 Lettre annexe</Template>
  <TotalTime>122</TotalTime>
  <Pages>7</Pages>
  <Words>1603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</vt:lpstr>
    </vt:vector>
  </TitlesOfParts>
  <Company>Union postal universelle (UPU)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LUTHY christine</dc:creator>
  <cp:lastModifiedBy>DA SILVA rui</cp:lastModifiedBy>
  <cp:revision>9</cp:revision>
  <cp:lastPrinted>2026-03-31T07:51:00Z</cp:lastPrinted>
  <dcterms:created xsi:type="dcterms:W3CDTF">2026-03-26T08:12:00Z</dcterms:created>
  <dcterms:modified xsi:type="dcterms:W3CDTF">2026-03-31T08:57:00Z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0x010100058EFBD0D35E49E793D404E779D0CFC200A99B90ACDC5B244BA2146F32FB8F9E12</vt:lpwstr>
  </property>
</Properties>
</file>