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9A" w:rsidRPr="0049416E" w:rsidRDefault="0001739A" w:rsidP="00591145">
      <w:pPr>
        <w:pStyle w:val="0Textedebase"/>
        <w:rPr>
          <w:b/>
          <w:bCs/>
        </w:rPr>
      </w:pPr>
      <w:r w:rsidRPr="0049416E">
        <w:rPr>
          <w:b/>
          <w:bCs/>
        </w:rPr>
        <w:t>Уведомление о внутренних тарифах и самостоятельно устанавливаемых тарифах на отправления посылочной почты, вступающих в силу с 1 января 2027 года</w:t>
      </w:r>
    </w:p>
    <w:p w:rsidR="00591145" w:rsidRPr="0049416E" w:rsidRDefault="00591145" w:rsidP="00591145">
      <w:pPr>
        <w:pStyle w:val="0Textedebase"/>
      </w:pPr>
    </w:p>
    <w:p w:rsidR="00591145" w:rsidRPr="0049416E" w:rsidRDefault="00591145" w:rsidP="00591145">
      <w:pPr>
        <w:pStyle w:val="0Textedebase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91145" w:rsidRPr="0049416E" w:rsidTr="0049416E">
        <w:tc>
          <w:tcPr>
            <w:tcW w:w="9639" w:type="dxa"/>
            <w:vAlign w:val="center"/>
          </w:tcPr>
          <w:p w:rsidR="00591145" w:rsidRPr="0049416E" w:rsidRDefault="0001739A" w:rsidP="0001739A">
            <w:pPr>
              <w:pStyle w:val="0Textedebase"/>
              <w:spacing w:before="60" w:after="60"/>
            </w:pPr>
            <w:r w:rsidRPr="0049416E">
              <w:rPr>
                <w:b/>
                <w:bCs/>
              </w:rPr>
              <w:t xml:space="preserve">Примечание – </w:t>
            </w:r>
            <w:r w:rsidRPr="0049416E">
              <w:rPr>
                <w:bCs/>
              </w:rPr>
              <w:t>настоящий вопросник должен быть заполнен и возвращен назначенными операторами (НО)</w:t>
            </w:r>
          </w:p>
        </w:tc>
      </w:tr>
    </w:tbl>
    <w:p w:rsidR="00591145" w:rsidRPr="0049416E" w:rsidRDefault="00591145" w:rsidP="00591145">
      <w:pPr>
        <w:pStyle w:val="0Textedebase"/>
      </w:pPr>
    </w:p>
    <w:p w:rsidR="00591145" w:rsidRPr="0049416E" w:rsidRDefault="00CD193F" w:rsidP="00591145">
      <w:pPr>
        <w:jc w:val="both"/>
        <w:rPr>
          <w:lang w:val="ru-RU"/>
        </w:rPr>
      </w:pPr>
      <w:r w:rsidRPr="0049416E">
        <w:rPr>
          <w:lang w:val="ru-RU"/>
        </w:rPr>
        <w:t xml:space="preserve">Этот вопросник должен быть возвращен без сопроводительного письма как можно скорее, </w:t>
      </w:r>
      <w:r w:rsidRPr="0049416E">
        <w:rPr>
          <w:b/>
          <w:lang w:val="ru-RU"/>
        </w:rPr>
        <w:t>но не позднее 1 мая 2026 года,</w:t>
      </w:r>
      <w:r w:rsidRPr="0049416E">
        <w:rPr>
          <w:lang w:val="ru-RU"/>
        </w:rPr>
        <w:t xml:space="preserve"> по электронной почте г-ну Витису Стаскявичусу (vytis.staskevicius@upu.int) и г-же Вирджинии Эспинозе (virginia.espinoza@upu.int) или по следующему адресу</w:t>
      </w:r>
      <w:r w:rsidR="00591145" w:rsidRPr="0049416E">
        <w:rPr>
          <w:lang w:val="ru-RU"/>
        </w:rPr>
        <w:t>:</w:t>
      </w:r>
    </w:p>
    <w:p w:rsidR="00591145" w:rsidRPr="0049416E" w:rsidRDefault="00591145" w:rsidP="00591145">
      <w:pPr>
        <w:spacing w:before="120"/>
        <w:jc w:val="both"/>
        <w:rPr>
          <w:lang w:val="ru-RU"/>
        </w:rPr>
      </w:pPr>
      <w:r w:rsidRPr="0049416E">
        <w:rPr>
          <w:lang w:val="ru-RU"/>
        </w:rPr>
        <w:t>Mr Vytis Staskevicius</w:t>
      </w:r>
    </w:p>
    <w:p w:rsidR="00591145" w:rsidRPr="0049416E" w:rsidRDefault="00591145" w:rsidP="00591145">
      <w:pPr>
        <w:jc w:val="both"/>
        <w:rPr>
          <w:lang w:val="ru-RU"/>
        </w:rPr>
      </w:pPr>
      <w:r w:rsidRPr="0049416E">
        <w:rPr>
          <w:lang w:val="ru-RU"/>
        </w:rPr>
        <w:t>Remuneration Development and Integration Expert</w:t>
      </w:r>
    </w:p>
    <w:p w:rsidR="00591145" w:rsidRPr="0049416E" w:rsidRDefault="00591145" w:rsidP="00591145">
      <w:pPr>
        <w:jc w:val="both"/>
        <w:rPr>
          <w:lang w:val="ru-RU"/>
        </w:rPr>
      </w:pPr>
      <w:r w:rsidRPr="0049416E">
        <w:rPr>
          <w:lang w:val="ru-RU"/>
        </w:rPr>
        <w:t>UPU International Bureau</w:t>
      </w:r>
    </w:p>
    <w:p w:rsidR="00591145" w:rsidRPr="0049416E" w:rsidRDefault="00591145" w:rsidP="00591145">
      <w:pPr>
        <w:jc w:val="both"/>
        <w:rPr>
          <w:lang w:val="ru-RU"/>
        </w:rPr>
      </w:pPr>
      <w:r w:rsidRPr="0049416E">
        <w:rPr>
          <w:lang w:val="ru-RU"/>
        </w:rPr>
        <w:t>3015 BERNE</w:t>
      </w:r>
    </w:p>
    <w:p w:rsidR="00591145" w:rsidRPr="0049416E" w:rsidRDefault="00591145" w:rsidP="00591145">
      <w:pPr>
        <w:jc w:val="both"/>
        <w:rPr>
          <w:lang w:val="ru-RU"/>
        </w:rPr>
      </w:pPr>
      <w:r w:rsidRPr="0049416E">
        <w:rPr>
          <w:lang w:val="ru-RU"/>
        </w:rPr>
        <w:t>SWITZERLAND</w:t>
      </w:r>
    </w:p>
    <w:p w:rsidR="00591145" w:rsidRPr="0049416E" w:rsidRDefault="00591145" w:rsidP="00591145">
      <w:pPr>
        <w:jc w:val="both"/>
        <w:rPr>
          <w:lang w:val="ru-RU"/>
        </w:rPr>
      </w:pPr>
    </w:p>
    <w:p w:rsidR="00591145" w:rsidRPr="0049416E" w:rsidRDefault="00701CE6" w:rsidP="00591145">
      <w:pPr>
        <w:pStyle w:val="0Textedebase"/>
        <w:rPr>
          <w:bCs/>
        </w:rPr>
      </w:pPr>
      <w:r w:rsidRPr="0049416E">
        <w:rPr>
          <w:bCs/>
        </w:rPr>
        <w:t>Электронная версия вопросника, приведенного в этом приложении, доступна по следующей ссылке</w:t>
      </w:r>
      <w:r w:rsidR="00591145" w:rsidRPr="0049416E">
        <w:rPr>
          <w:bCs/>
        </w:rPr>
        <w:t xml:space="preserve">: </w:t>
      </w:r>
      <w:hyperlink r:id="rId9" w:history="1">
        <w:r w:rsidR="00591145" w:rsidRPr="0049416E">
          <w:rPr>
            <w:rStyle w:val="ae"/>
            <w:bCs/>
          </w:rPr>
          <w:t>https://www.surveymonkey.com/r/DFS8SK8</w:t>
        </w:r>
      </w:hyperlink>
      <w:r w:rsidR="0049416E" w:rsidRPr="0049416E">
        <w:rPr>
          <w:rStyle w:val="ae"/>
          <w:bCs/>
        </w:rPr>
        <w:t>.</w:t>
      </w:r>
    </w:p>
    <w:p w:rsidR="00591145" w:rsidRPr="0049416E" w:rsidRDefault="00591145" w:rsidP="00591145">
      <w:pPr>
        <w:pStyle w:val="0Textedebase"/>
      </w:pPr>
    </w:p>
    <w:p w:rsidR="00591145" w:rsidRPr="0049416E" w:rsidRDefault="00701CE6" w:rsidP="00591145">
      <w:pPr>
        <w:jc w:val="both"/>
        <w:rPr>
          <w:bCs/>
          <w:i/>
          <w:lang w:val="ru-RU" w:eastAsia="ru-RU"/>
        </w:rPr>
      </w:pPr>
      <w:r w:rsidRPr="0049416E">
        <w:rPr>
          <w:bCs/>
          <w:i/>
          <w:lang w:val="ru-RU" w:eastAsia="ru-RU"/>
        </w:rPr>
        <w:t>Пожалуйста, обратите внимание, что НО, отправляющим свои уведомления через SurveyMonkey, не нужно возвращать вопросник в формате Word по электронной почте.</w:t>
      </w:r>
    </w:p>
    <w:p w:rsidR="00701CE6" w:rsidRPr="0049416E" w:rsidRDefault="00701CE6" w:rsidP="00591145">
      <w:pPr>
        <w:jc w:val="both"/>
        <w:rPr>
          <w:lang w:val="ru-RU"/>
        </w:rPr>
      </w:pPr>
    </w:p>
    <w:p w:rsidR="00591145" w:rsidRPr="0049416E" w:rsidRDefault="00701CE6" w:rsidP="00591145">
      <w:pPr>
        <w:jc w:val="both"/>
        <w:rPr>
          <w:lang w:val="ru-RU"/>
        </w:rPr>
      </w:pPr>
      <w:r w:rsidRPr="0049416E">
        <w:rPr>
          <w:lang w:val="ru-RU"/>
        </w:rPr>
        <w:t>НО рекомендуется отправить свое уведомление по электронной почте или отправить его копию по электронной почте, если они отправляют его обычной почтой</w:t>
      </w:r>
      <w:r w:rsidR="00591145" w:rsidRPr="0049416E">
        <w:rPr>
          <w:lang w:val="ru-RU"/>
        </w:rPr>
        <w:t>.</w:t>
      </w:r>
    </w:p>
    <w:p w:rsidR="00591145" w:rsidRPr="0049416E" w:rsidRDefault="00591145" w:rsidP="00591145">
      <w:pPr>
        <w:pStyle w:val="0Textedebase"/>
      </w:pPr>
    </w:p>
    <w:p w:rsidR="00591145" w:rsidRPr="0049416E" w:rsidRDefault="00232389" w:rsidP="00232389">
      <w:pPr>
        <w:pStyle w:val="0Textedebase"/>
      </w:pPr>
      <w:r w:rsidRPr="0049416E">
        <w:t>Если у вас возникнут какие-либо проблемы с заполнением данного вопросника, пожалуйста, свяжитесь с г-ном Витисом Стаскявичюсом и г-жой Вирджинией Эспиноза по электронной почте</w:t>
      </w:r>
      <w:r w:rsidR="00591145" w:rsidRPr="0049416E">
        <w:t>.</w:t>
      </w:r>
    </w:p>
    <w:p w:rsidR="00591145" w:rsidRPr="0049416E" w:rsidRDefault="00591145" w:rsidP="00591145">
      <w:pPr>
        <w:pStyle w:val="0Textedebase"/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2004"/>
      </w:tblGrid>
      <w:tr w:rsidR="00591145" w:rsidRPr="0049416E" w:rsidTr="00B87AF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Назначенный оператор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</w:tr>
      <w:tr w:rsidR="00591145" w:rsidRPr="0049416E" w:rsidTr="00B87AF5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5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ФИО</w:t>
            </w:r>
          </w:p>
          <w:p w:rsidR="00591145" w:rsidRPr="0049416E" w:rsidRDefault="00591145" w:rsidP="00B87AF5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2004" w:type="dxa"/>
            <w:tcBorders>
              <w:left w:val="nil"/>
            </w:tcBorders>
            <w:tcMar>
              <w:top w:w="57" w:type="dxa"/>
            </w:tcMar>
            <w:vAlign w:val="bottom"/>
          </w:tcPr>
          <w:p w:rsidR="00591145" w:rsidRPr="0049416E" w:rsidRDefault="003B5995" w:rsidP="00B87AF5">
            <w:pPr>
              <w:tabs>
                <w:tab w:val="left" w:pos="921"/>
              </w:tabs>
              <w:rPr>
                <w:sz w:val="16"/>
                <w:szCs w:val="16"/>
                <w:lang w:val="ru-RU"/>
              </w:rPr>
            </w:pPr>
            <w:sdt>
              <w:sdtPr>
                <w:rPr>
                  <w:sz w:val="24"/>
                  <w:szCs w:val="24"/>
                  <w:lang w:val="ru-RU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91145" w:rsidRPr="0049416E">
                  <w:rPr>
                    <w:sz w:val="24"/>
                    <w:szCs w:val="24"/>
                    <w:lang w:val="ru-RU"/>
                  </w:rPr>
                  <w:sym w:font="Wingdings" w:char="F071"/>
                </w:r>
              </w:sdtContent>
            </w:sdt>
            <w:r w:rsidR="00591145" w:rsidRPr="0049416E">
              <w:rPr>
                <w:sz w:val="16"/>
                <w:szCs w:val="16"/>
                <w:lang w:val="ru-RU"/>
              </w:rPr>
              <w:t xml:space="preserve"> Г-н</w:t>
            </w:r>
            <w:r w:rsidR="00591145" w:rsidRPr="0049416E">
              <w:rPr>
                <w:sz w:val="16"/>
                <w:szCs w:val="16"/>
                <w:lang w:val="ru-RU"/>
              </w:rPr>
              <w:tab/>
            </w:r>
            <w:sdt>
              <w:sdtPr>
                <w:rPr>
                  <w:sz w:val="24"/>
                  <w:szCs w:val="24"/>
                  <w:lang w:val="ru-RU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91145" w:rsidRPr="0049416E">
                  <w:rPr>
                    <w:sz w:val="24"/>
                    <w:szCs w:val="24"/>
                    <w:lang w:val="ru-RU"/>
                  </w:rPr>
                  <w:sym w:font="Wingdings" w:char="F071"/>
                </w:r>
              </w:sdtContent>
            </w:sdt>
            <w:r w:rsidR="00591145" w:rsidRPr="0049416E">
              <w:rPr>
                <w:sz w:val="16"/>
                <w:szCs w:val="16"/>
                <w:lang w:val="ru-RU"/>
              </w:rPr>
              <w:t xml:space="preserve"> Г-жа</w:t>
            </w:r>
          </w:p>
        </w:tc>
      </w:tr>
      <w:tr w:rsidR="00591145" w:rsidRPr="0049416E" w:rsidTr="00B87AF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Должность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</w:tr>
      <w:tr w:rsidR="00591145" w:rsidRPr="0049416E" w:rsidTr="00B87AF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Адрес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</w:tr>
      <w:tr w:rsidR="00591145" w:rsidRPr="0049416E" w:rsidTr="00B87AF5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Тел.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Факс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</w:tr>
      <w:tr w:rsidR="00591145" w:rsidRPr="0049416E" w:rsidTr="00B87AF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  <w:r w:rsidRPr="0049416E">
              <w:rPr>
                <w:rFonts w:eastAsia="SimSun"/>
                <w:sz w:val="16"/>
                <w:szCs w:val="16"/>
                <w:lang w:val="ru-RU"/>
              </w:rPr>
              <w:t>Электронная почта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</w:p>
        </w:tc>
      </w:tr>
      <w:tr w:rsidR="00591145" w:rsidRPr="0049416E" w:rsidTr="00B87AF5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Дата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:rsidR="00591145" w:rsidRPr="0049416E" w:rsidRDefault="00591145" w:rsidP="00B87AF5">
            <w:pPr>
              <w:spacing w:line="240" w:lineRule="auto"/>
              <w:ind w:right="74"/>
              <w:rPr>
                <w:sz w:val="16"/>
                <w:szCs w:val="16"/>
                <w:lang w:val="ru-RU"/>
              </w:rPr>
            </w:pPr>
            <w:r w:rsidRPr="0049416E">
              <w:rPr>
                <w:sz w:val="16"/>
                <w:szCs w:val="16"/>
                <w:lang w:val="ru-RU"/>
              </w:rPr>
              <w:t>Подпись</w:t>
            </w:r>
          </w:p>
          <w:p w:rsidR="00591145" w:rsidRPr="0049416E" w:rsidRDefault="00591145" w:rsidP="00B87AF5">
            <w:pPr>
              <w:spacing w:line="240" w:lineRule="auto"/>
              <w:ind w:right="74"/>
              <w:rPr>
                <w:rFonts w:eastAsia="SimSun"/>
                <w:sz w:val="16"/>
                <w:szCs w:val="16"/>
                <w:lang w:val="ru-RU"/>
              </w:rPr>
            </w:pPr>
          </w:p>
        </w:tc>
      </w:tr>
    </w:tbl>
    <w:p w:rsidR="00591145" w:rsidRPr="0049416E" w:rsidRDefault="00591145" w:rsidP="00591145">
      <w:pPr>
        <w:jc w:val="both"/>
        <w:rPr>
          <w:lang w:val="ru-RU"/>
        </w:rPr>
      </w:pPr>
    </w:p>
    <w:p w:rsidR="00591145" w:rsidRPr="0049416E" w:rsidRDefault="00591145" w:rsidP="00591145">
      <w:pPr>
        <w:spacing w:line="240" w:lineRule="auto"/>
        <w:rPr>
          <w:b/>
          <w:bCs/>
          <w:lang w:val="ru-RU"/>
        </w:rPr>
      </w:pPr>
      <w:r w:rsidRPr="0049416E">
        <w:rPr>
          <w:b/>
          <w:bCs/>
          <w:lang w:val="ru-RU"/>
        </w:rPr>
        <w:br w:type="page"/>
      </w:r>
    </w:p>
    <w:p w:rsidR="00591145" w:rsidRPr="0049416E" w:rsidRDefault="00A576EC" w:rsidP="00591145">
      <w:pPr>
        <w:pStyle w:val="0Textedebase"/>
        <w:rPr>
          <w:b/>
          <w:bCs/>
        </w:rPr>
      </w:pPr>
      <w:r w:rsidRPr="0049416E">
        <w:rPr>
          <w:b/>
          <w:bCs/>
        </w:rPr>
        <w:lastRenderedPageBreak/>
        <w:t>Введение</w:t>
      </w:r>
    </w:p>
    <w:p w:rsidR="00591145" w:rsidRPr="0049416E" w:rsidRDefault="00591145" w:rsidP="00591145">
      <w:pPr>
        <w:pStyle w:val="0Textedebase"/>
      </w:pPr>
    </w:p>
    <w:p w:rsidR="00591145" w:rsidRPr="0049416E" w:rsidRDefault="00387E2E" w:rsidP="00591145">
      <w:pPr>
        <w:pStyle w:val="0Textedebase"/>
      </w:pPr>
      <w:r w:rsidRPr="0049416E">
        <w:t>Следующая информация необходима для уведомления о самостоятельно устанавливаемых тарифах на отправления посылочной почты, которые вступают в силу с 1 января 2027 года</w:t>
      </w:r>
      <w:r w:rsidR="00591145" w:rsidRPr="0049416E">
        <w:t>:</w:t>
      </w:r>
    </w:p>
    <w:p w:rsidR="00591145" w:rsidRPr="0049416E" w:rsidRDefault="00007232" w:rsidP="00007232">
      <w:pPr>
        <w:pStyle w:val="1Premierretrait"/>
        <w:numPr>
          <w:ilvl w:val="0"/>
          <w:numId w:val="2"/>
        </w:numPr>
        <w:rPr>
          <w:lang w:val="ru-RU"/>
        </w:rPr>
      </w:pPr>
      <w:r w:rsidRPr="0049416E">
        <w:rPr>
          <w:lang w:val="ru-RU"/>
        </w:rPr>
        <w:t>Самостоятельно устанавливаемые тарифы должны быть выражены как за отправление, так и за килограмм в местной валюте или специальных правах заимствования (СПЗ</w:t>
      </w:r>
      <w:r w:rsidR="00591145" w:rsidRPr="0049416E">
        <w:rPr>
          <w:lang w:val="ru-RU"/>
        </w:rPr>
        <w:t>).</w:t>
      </w:r>
    </w:p>
    <w:p w:rsidR="007B15F9" w:rsidRPr="0049416E" w:rsidRDefault="00A60BAB" w:rsidP="007B15F9">
      <w:pPr>
        <w:pStyle w:val="1Premierretrait"/>
        <w:numPr>
          <w:ilvl w:val="0"/>
          <w:numId w:val="2"/>
        </w:numPr>
        <w:rPr>
          <w:lang w:val="ru-RU"/>
        </w:rPr>
      </w:pPr>
      <w:r w:rsidRPr="0049416E">
        <w:rPr>
          <w:lang w:val="ru-RU"/>
        </w:rPr>
        <w:t xml:space="preserve">Самостоятельно устанавливаемые тарифы не должны превышать максимальный доход, указанный в разделе В циркулярного письма, в частности в пунктах (vii) и (viii) подраздела </w:t>
      </w:r>
      <w:r w:rsidR="0049416E" w:rsidRPr="0049416E">
        <w:rPr>
          <w:lang w:val="ru-RU"/>
        </w:rPr>
        <w:t>«</w:t>
      </w:r>
      <w:r w:rsidRPr="0049416E">
        <w:rPr>
          <w:lang w:val="ru-RU"/>
        </w:rPr>
        <w:t>Условия, применимые к самостоятельно устанавливаемые тарифам</w:t>
      </w:r>
      <w:r w:rsidR="0049416E" w:rsidRPr="0049416E">
        <w:rPr>
          <w:lang w:val="ru-RU"/>
        </w:rPr>
        <w:t>»</w:t>
      </w:r>
      <w:r w:rsidR="00591145" w:rsidRPr="0049416E">
        <w:rPr>
          <w:lang w:val="ru-RU"/>
        </w:rPr>
        <w:t>.</w:t>
      </w:r>
    </w:p>
    <w:p w:rsidR="00591145" w:rsidRPr="0049416E" w:rsidRDefault="007B15F9" w:rsidP="007B15F9">
      <w:pPr>
        <w:pStyle w:val="1Premierretrait"/>
        <w:numPr>
          <w:ilvl w:val="0"/>
          <w:numId w:val="2"/>
        </w:numPr>
        <w:tabs>
          <w:tab w:val="clear" w:pos="567"/>
        </w:tabs>
        <w:rPr>
          <w:lang w:val="ru-RU"/>
        </w:rPr>
      </w:pPr>
      <w:r w:rsidRPr="0049416E">
        <w:rPr>
          <w:lang w:val="ru-RU"/>
        </w:rPr>
        <w:t>Самостоятельно устанавливаемые тарифы должны соответствовать всем условиям, указанным в статье 33 Конвенции</w:t>
      </w:r>
      <w:r w:rsidR="00591145" w:rsidRPr="0049416E">
        <w:rPr>
          <w:lang w:val="ru-RU"/>
        </w:rPr>
        <w:t xml:space="preserve">. </w:t>
      </w:r>
    </w:p>
    <w:p w:rsidR="00591145" w:rsidRPr="0049416E" w:rsidRDefault="00497A07" w:rsidP="00497A07">
      <w:pPr>
        <w:pStyle w:val="1Premierretrait"/>
        <w:numPr>
          <w:ilvl w:val="0"/>
          <w:numId w:val="2"/>
        </w:numPr>
        <w:rPr>
          <w:lang w:val="ru-RU"/>
        </w:rPr>
      </w:pPr>
      <w:r w:rsidRPr="0049416E">
        <w:rPr>
          <w:lang w:val="ru-RU"/>
        </w:rPr>
        <w:t>Что касается вышеупомянутых внутренних тарифов за одно отправление, то они должны быть указаны с указанием ставки НДС или других включенных налогов</w:t>
      </w:r>
      <w:r w:rsidR="00591145" w:rsidRPr="0049416E">
        <w:rPr>
          <w:lang w:val="ru-RU"/>
        </w:rPr>
        <w:t xml:space="preserve">. </w:t>
      </w:r>
    </w:p>
    <w:p w:rsidR="00591145" w:rsidRPr="0049416E" w:rsidRDefault="00227E47" w:rsidP="00227E47">
      <w:pPr>
        <w:pStyle w:val="1Premierretrait"/>
        <w:numPr>
          <w:ilvl w:val="0"/>
          <w:numId w:val="2"/>
        </w:numPr>
        <w:rPr>
          <w:lang w:val="ru-RU"/>
        </w:rPr>
      </w:pPr>
      <w:r w:rsidRPr="0049416E">
        <w:rPr>
          <w:lang w:val="ru-RU"/>
        </w:rPr>
        <w:t>Важно четко указать, включает ли базовая услуга, для которой предоставляется информация о внутренних тарифах, подтверждение доставки (POD) в тех случаях, когда внутренние услуги без этой функции не предлагаются. Эта информация должна предоставляться для каждого из семи дополнительных тарифов отдельно</w:t>
      </w:r>
      <w:r w:rsidR="00591145" w:rsidRPr="0049416E">
        <w:rPr>
          <w:lang w:val="ru-RU"/>
        </w:rPr>
        <w:t>.</w:t>
      </w:r>
    </w:p>
    <w:p w:rsidR="00591145" w:rsidRPr="0049416E" w:rsidRDefault="008B0B5D" w:rsidP="008B0B5D">
      <w:pPr>
        <w:pStyle w:val="1Premierretrait"/>
        <w:numPr>
          <w:ilvl w:val="0"/>
          <w:numId w:val="2"/>
        </w:numPr>
        <w:rPr>
          <w:lang w:val="ru-RU"/>
        </w:rPr>
      </w:pPr>
      <w:r w:rsidRPr="0049416E">
        <w:rPr>
          <w:lang w:val="ru-RU"/>
        </w:rPr>
        <w:t xml:space="preserve">В отношении всей предоставленной информации следует указать источник для проверки. Таким источником проверки может быть общедоступный веб-сайт, на котором четко указаны </w:t>
      </w:r>
      <w:r w:rsidRPr="0049416E">
        <w:rPr>
          <w:spacing w:val="-6"/>
          <w:lang w:val="ru-RU"/>
        </w:rPr>
        <w:t>информация о тарифах и технические характеристики услуг, информация в брошюрах о продуктах</w:t>
      </w:r>
      <w:r w:rsidRPr="0049416E">
        <w:rPr>
          <w:lang w:val="ru-RU"/>
        </w:rPr>
        <w:t xml:space="preserve">, </w:t>
      </w:r>
      <w:r w:rsidRPr="0049416E">
        <w:rPr>
          <w:spacing w:val="-6"/>
          <w:lang w:val="ru-RU"/>
        </w:rPr>
        <w:t>почтовое законодательство или нормативные акты, или письменное подтверждение регулирующего</w:t>
      </w:r>
      <w:r w:rsidRPr="0049416E">
        <w:rPr>
          <w:lang w:val="ru-RU"/>
        </w:rPr>
        <w:t xml:space="preserve"> органа. Международное бюро ВПС сверит информацию с предоставленным источником</w:t>
      </w:r>
      <w:r w:rsidR="00591145" w:rsidRPr="0049416E">
        <w:rPr>
          <w:lang w:val="ru-RU"/>
        </w:rPr>
        <w:t>.</w:t>
      </w:r>
    </w:p>
    <w:p w:rsidR="00591145" w:rsidRPr="0049416E" w:rsidRDefault="00591145" w:rsidP="00591145">
      <w:pPr>
        <w:pStyle w:val="0Textedebase"/>
      </w:pPr>
    </w:p>
    <w:p w:rsidR="0049416E" w:rsidRDefault="0049416E" w:rsidP="00591145">
      <w:pPr>
        <w:pStyle w:val="0Textedebase"/>
        <w:rPr>
          <w:b/>
          <w:bCs/>
        </w:rPr>
      </w:pPr>
    </w:p>
    <w:p w:rsidR="00591145" w:rsidRPr="0049416E" w:rsidRDefault="009912DC" w:rsidP="00591145">
      <w:pPr>
        <w:pStyle w:val="0Textedebase"/>
        <w:rPr>
          <w:b/>
          <w:bCs/>
        </w:rPr>
      </w:pPr>
      <w:r w:rsidRPr="0049416E">
        <w:rPr>
          <w:b/>
          <w:bCs/>
        </w:rPr>
        <w:t>Уведомление</w:t>
      </w:r>
    </w:p>
    <w:p w:rsidR="00591145" w:rsidRPr="0049416E" w:rsidRDefault="00591145" w:rsidP="00591145">
      <w:pPr>
        <w:pStyle w:val="0Textedebase"/>
      </w:pPr>
    </w:p>
    <w:p w:rsidR="00591145" w:rsidRPr="0049416E" w:rsidRDefault="00780789" w:rsidP="00591145">
      <w:pPr>
        <w:pStyle w:val="0Textedebase"/>
      </w:pPr>
      <w:r w:rsidRPr="0049416E">
        <w:t xml:space="preserve">Самостоятельно устанавливаемые тарифы (таблицы 1 и 2) должны быть указаны в местной валюте </w:t>
      </w:r>
      <w:r w:rsidRPr="0049416E">
        <w:rPr>
          <w:spacing w:val="-6"/>
        </w:rPr>
        <w:t>или СПЗ; информация о внутренних тарифах (таблицы 3-10) должна быть представлена в местной валюте</w:t>
      </w:r>
      <w:r w:rsidR="00591145" w:rsidRPr="0049416E">
        <w:t>.</w:t>
      </w:r>
    </w:p>
    <w:p w:rsidR="00591145" w:rsidRPr="0049416E" w:rsidRDefault="00591145" w:rsidP="00591145">
      <w:pPr>
        <w:pStyle w:val="0Textedebase"/>
      </w:pPr>
    </w:p>
    <w:p w:rsidR="00591145" w:rsidRPr="0049416E" w:rsidRDefault="00780789" w:rsidP="00591145">
      <w:pPr>
        <w:pStyle w:val="0Textedebase"/>
        <w:tabs>
          <w:tab w:val="right" w:pos="9631"/>
        </w:tabs>
      </w:pPr>
      <w:r w:rsidRPr="0049416E">
        <w:t>Местная валюта, используемая для целей настоящего уведомления</w:t>
      </w:r>
      <w:r w:rsidR="00591145" w:rsidRPr="0049416E">
        <w:t>:</w:t>
      </w:r>
      <w:r w:rsidR="00591145" w:rsidRPr="0049416E">
        <w:rPr>
          <w:u w:val="single"/>
        </w:rPr>
        <w:tab/>
      </w:r>
    </w:p>
    <w:p w:rsidR="00591145" w:rsidRPr="0049416E" w:rsidRDefault="00591145" w:rsidP="00591145">
      <w:pPr>
        <w:pStyle w:val="0Textedebase"/>
      </w:pPr>
    </w:p>
    <w:p w:rsidR="00591145" w:rsidRDefault="00780789" w:rsidP="00591145">
      <w:pPr>
        <w:pStyle w:val="0Textedebase"/>
        <w:rPr>
          <w:i/>
          <w:iCs/>
        </w:rPr>
      </w:pPr>
      <w:r w:rsidRPr="0049416E">
        <w:rPr>
          <w:i/>
          <w:iCs/>
        </w:rPr>
        <w:t>Таблица</w:t>
      </w:r>
      <w:r w:rsidR="00591145" w:rsidRPr="0049416E">
        <w:rPr>
          <w:i/>
          <w:iCs/>
        </w:rPr>
        <w:t xml:space="preserve"> 1 – </w:t>
      </w:r>
      <w:r w:rsidRPr="0049416E">
        <w:rPr>
          <w:i/>
          <w:iCs/>
        </w:rPr>
        <w:t>Самостоятельно устанавливаемые тарифы на посылки, без учета каких-либо налогов, выраженные в местной валюте или СПЗ для входящих потоков</w:t>
      </w:r>
    </w:p>
    <w:p w:rsidR="0049416E" w:rsidRPr="0049416E" w:rsidRDefault="0049416E" w:rsidP="00591145">
      <w:pPr>
        <w:pStyle w:val="0Textedebase"/>
        <w:rPr>
          <w:i/>
          <w:iCs/>
        </w:rPr>
      </w:pPr>
    </w:p>
    <w:tbl>
      <w:tblPr>
        <w:tblStyle w:val="a5"/>
        <w:tblW w:w="4891" w:type="pct"/>
        <w:tblInd w:w="108" w:type="dxa"/>
        <w:tblLook w:val="04A0" w:firstRow="1" w:lastRow="0" w:firstColumn="1" w:lastColumn="0" w:noHBand="0" w:noVBand="1"/>
      </w:tblPr>
      <w:tblGrid>
        <w:gridCol w:w="5953"/>
        <w:gridCol w:w="3686"/>
      </w:tblGrid>
      <w:tr w:rsidR="00591145" w:rsidRPr="0049416E" w:rsidTr="0049416E">
        <w:trPr>
          <w:trHeight w:val="340"/>
        </w:trPr>
        <w:tc>
          <w:tcPr>
            <w:tcW w:w="3088" w:type="pct"/>
            <w:tcBorders>
              <w:bottom w:val="single" w:sz="4" w:space="0" w:color="auto"/>
            </w:tcBorders>
          </w:tcPr>
          <w:p w:rsidR="00591145" w:rsidRPr="0049416E" w:rsidRDefault="00780789" w:rsidP="00B87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Самостоятельно устанавливаемые тарифы за отправление</w:t>
            </w:r>
          </w:p>
        </w:tc>
        <w:tc>
          <w:tcPr>
            <w:tcW w:w="1912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  <w:tr w:rsidR="00591145" w:rsidRPr="0049416E" w:rsidTr="0049416E">
        <w:trPr>
          <w:trHeight w:val="340"/>
        </w:trPr>
        <w:tc>
          <w:tcPr>
            <w:tcW w:w="3088" w:type="pct"/>
          </w:tcPr>
          <w:p w:rsidR="00591145" w:rsidRPr="0049416E" w:rsidRDefault="00780789" w:rsidP="00780789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Самостоятельно устанавливаемые тарифы за килограмм</w:t>
            </w:r>
          </w:p>
        </w:tc>
        <w:tc>
          <w:tcPr>
            <w:tcW w:w="1912" w:type="pct"/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  <w:tr w:rsidR="00591145" w:rsidRPr="0049416E" w:rsidTr="0049416E">
        <w:trPr>
          <w:trHeight w:val="340"/>
        </w:trPr>
        <w:tc>
          <w:tcPr>
            <w:tcW w:w="3088" w:type="pct"/>
            <w:tcBorders>
              <w:bottom w:val="single" w:sz="4" w:space="0" w:color="auto"/>
            </w:tcBorders>
          </w:tcPr>
          <w:p w:rsidR="00591145" w:rsidRPr="0049416E" w:rsidRDefault="002E2BE3" w:rsidP="002E2BE3">
            <w:pPr>
              <w:spacing w:before="60" w:after="60"/>
              <w:rPr>
                <w:i/>
                <w:lang w:val="ru-RU"/>
              </w:rPr>
            </w:pPr>
            <w:r w:rsidRPr="0049416E">
              <w:rPr>
                <w:i/>
                <w:iCs/>
                <w:lang w:val="ru-RU"/>
              </w:rPr>
              <w:t>Валюта</w:t>
            </w:r>
            <w:r w:rsidR="00591145" w:rsidRPr="0049416E">
              <w:rPr>
                <w:i/>
                <w:iCs/>
                <w:lang w:val="ru-RU"/>
              </w:rPr>
              <w:t xml:space="preserve"> (</w:t>
            </w:r>
            <w:r w:rsidRPr="0049416E">
              <w:rPr>
                <w:i/>
                <w:iCs/>
                <w:lang w:val="ru-RU"/>
              </w:rPr>
              <w:t>местная валюта или СПЗ</w:t>
            </w:r>
            <w:r w:rsidR="00591145" w:rsidRPr="0049416E">
              <w:rPr>
                <w:i/>
                <w:iCs/>
                <w:lang w:val="ru-RU"/>
              </w:rPr>
              <w:t>)</w:t>
            </w:r>
          </w:p>
        </w:tc>
        <w:tc>
          <w:tcPr>
            <w:tcW w:w="1912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</w:tbl>
    <w:p w:rsidR="00591145" w:rsidRPr="0049416E" w:rsidRDefault="00591145" w:rsidP="00591145">
      <w:pPr>
        <w:pStyle w:val="0Textedebase"/>
      </w:pPr>
    </w:p>
    <w:p w:rsidR="00591145" w:rsidRPr="0049416E" w:rsidRDefault="002053B8" w:rsidP="00591145">
      <w:pPr>
        <w:pStyle w:val="0Textedebase"/>
        <w:rPr>
          <w:bCs/>
        </w:rPr>
      </w:pPr>
      <w:r w:rsidRPr="0049416E">
        <w:rPr>
          <w:bCs/>
        </w:rPr>
        <w:t>Применимо только к НО стран, отнесенных к группе С</w:t>
      </w:r>
      <w:r w:rsidR="00591145" w:rsidRPr="0049416E">
        <w:rPr>
          <w:bCs/>
        </w:rPr>
        <w:t>:</w:t>
      </w:r>
      <w:r w:rsidR="0049416E" w:rsidRPr="0049416E">
        <w:rPr>
          <w:bCs/>
        </w:rPr>
        <w:t xml:space="preserve"> </w:t>
      </w:r>
      <w:r w:rsidRPr="0049416E">
        <w:t xml:space="preserve">Хотите ли вы заменить максимальный доход базовыми тарифами за посылку и за килограмм, установленными на 2026 год (входные сухопутные доли тарифа), которые были увеличены на 40% и впоследствии снижены на 1.200 СПЗ за посылку? Если выбрано </w:t>
      </w:r>
      <w:r w:rsidR="0049416E">
        <w:t>«</w:t>
      </w:r>
      <w:r w:rsidRPr="0049416E">
        <w:t>Да</w:t>
      </w:r>
      <w:r w:rsidR="0049416E">
        <w:t>»</w:t>
      </w:r>
      <w:r w:rsidRPr="0049416E">
        <w:t xml:space="preserve">, то вместе с настоящим уведомлением должно быть представлено заключение </w:t>
      </w:r>
      <w:r w:rsidRPr="0049416E">
        <w:rPr>
          <w:spacing w:val="-6"/>
        </w:rPr>
        <w:t>компетентного органа, подтверждающее, что тарифы на внутренние посылки не привязаны к расходам</w:t>
      </w:r>
      <w:r w:rsidRPr="0049416E">
        <w:t>.</w:t>
      </w:r>
    </w:p>
    <w:p w:rsidR="00591145" w:rsidRPr="0049416E" w:rsidRDefault="0049416E" w:rsidP="0049416E">
      <w:pPr>
        <w:spacing w:before="120"/>
        <w:ind w:left="567" w:hanging="567"/>
        <w:rPr>
          <w:lang w:val="ru-RU"/>
        </w:rPr>
      </w:pPr>
      <w:r w:rsidRPr="00F641C3">
        <w:rPr>
          <w:sz w:val="24"/>
          <w:szCs w:val="24"/>
        </w:rPr>
        <w:sym w:font="Wingdings" w:char="F072"/>
      </w:r>
      <w:r w:rsidRPr="00F641C3">
        <w:rPr>
          <w:sz w:val="24"/>
          <w:szCs w:val="24"/>
        </w:rPr>
        <w:tab/>
      </w:r>
      <w:r w:rsidR="002053B8" w:rsidRPr="0049416E">
        <w:rPr>
          <w:lang w:val="ru-RU"/>
        </w:rPr>
        <w:t>Да</w:t>
      </w:r>
      <w:r w:rsidR="00591145" w:rsidRPr="0049416E">
        <w:rPr>
          <w:lang w:val="ru-RU"/>
        </w:rPr>
        <w:t xml:space="preserve"> (</w:t>
      </w:r>
      <w:r w:rsidR="002053B8" w:rsidRPr="0049416E">
        <w:rPr>
          <w:lang w:val="ru-RU"/>
        </w:rPr>
        <w:t>остальные таблицы этого вопросника все еще должны быть заполнены</w:t>
      </w:r>
      <w:r w:rsidR="00591145" w:rsidRPr="0049416E">
        <w:rPr>
          <w:lang w:val="ru-RU"/>
        </w:rPr>
        <w:t>)</w:t>
      </w:r>
    </w:p>
    <w:p w:rsidR="00591145" w:rsidRPr="0049416E" w:rsidRDefault="0049416E" w:rsidP="0049416E">
      <w:pPr>
        <w:pStyle w:val="0Textedebase"/>
        <w:spacing w:before="120"/>
        <w:ind w:left="567" w:hanging="567"/>
      </w:pPr>
      <w:r w:rsidRPr="00F641C3">
        <w:rPr>
          <w:sz w:val="24"/>
          <w:szCs w:val="24"/>
        </w:rPr>
        <w:sym w:font="Wingdings" w:char="F072"/>
      </w:r>
      <w:r w:rsidRPr="00F641C3">
        <w:rPr>
          <w:sz w:val="24"/>
          <w:szCs w:val="24"/>
        </w:rPr>
        <w:tab/>
      </w:r>
      <w:r w:rsidR="002053B8" w:rsidRPr="0049416E">
        <w:t>Нет</w:t>
      </w:r>
    </w:p>
    <w:p w:rsidR="00591145" w:rsidRPr="0049416E" w:rsidRDefault="00591145" w:rsidP="00591145">
      <w:pPr>
        <w:pStyle w:val="0Textedebase"/>
      </w:pPr>
    </w:p>
    <w:p w:rsidR="0049416E" w:rsidRDefault="0049416E">
      <w:pPr>
        <w:spacing w:line="240" w:lineRule="auto"/>
        <w:rPr>
          <w:i/>
          <w:iCs/>
          <w:lang w:val="ru-RU" w:eastAsia="ru-RU"/>
        </w:rPr>
      </w:pPr>
      <w:r>
        <w:rPr>
          <w:i/>
          <w:iCs/>
        </w:rPr>
        <w:br w:type="page"/>
      </w:r>
    </w:p>
    <w:p w:rsidR="00591145" w:rsidRPr="0049416E" w:rsidRDefault="00847422" w:rsidP="00591145">
      <w:pPr>
        <w:pStyle w:val="0Textedebase"/>
        <w:rPr>
          <w:i/>
          <w:iCs/>
        </w:rPr>
      </w:pPr>
      <w:r w:rsidRPr="0049416E">
        <w:rPr>
          <w:i/>
          <w:iCs/>
        </w:rPr>
        <w:lastRenderedPageBreak/>
        <w:t>Таблица</w:t>
      </w:r>
      <w:r w:rsidR="00591145" w:rsidRPr="0049416E">
        <w:rPr>
          <w:i/>
          <w:iCs/>
        </w:rPr>
        <w:t xml:space="preserve"> 2 – </w:t>
      </w:r>
      <w:r w:rsidRPr="0049416E">
        <w:rPr>
          <w:i/>
          <w:iCs/>
        </w:rPr>
        <w:t>Самостоятельно устанавливаемые дополнительные тарифы на доставку посылок в несмежных зонах, без учета каких-либо налогов, выраженные в местной валюте или СПЗ для входящих потоков</w:t>
      </w:r>
      <w:r w:rsidR="00591145" w:rsidRPr="0049416E">
        <w:rPr>
          <w:rStyle w:val="a4"/>
          <w:i/>
          <w:iCs/>
        </w:rPr>
        <w:footnoteReference w:id="1"/>
      </w:r>
    </w:p>
    <w:p w:rsidR="00591145" w:rsidRPr="0049416E" w:rsidRDefault="00591145" w:rsidP="00591145">
      <w:pPr>
        <w:pStyle w:val="0Textedebase"/>
        <w:rPr>
          <w:i/>
          <w:iCs/>
        </w:rPr>
      </w:pPr>
    </w:p>
    <w:tbl>
      <w:tblPr>
        <w:tblStyle w:val="a5"/>
        <w:tblW w:w="4891" w:type="pct"/>
        <w:tblInd w:w="108" w:type="dxa"/>
        <w:tblLook w:val="04A0" w:firstRow="1" w:lastRow="0" w:firstColumn="1" w:lastColumn="0" w:noHBand="0" w:noVBand="1"/>
      </w:tblPr>
      <w:tblGrid>
        <w:gridCol w:w="1858"/>
        <w:gridCol w:w="1261"/>
        <w:gridCol w:w="2410"/>
        <w:gridCol w:w="1984"/>
        <w:gridCol w:w="2126"/>
      </w:tblGrid>
      <w:tr w:rsidR="00591145" w:rsidRPr="0049416E" w:rsidTr="0049416E">
        <w:trPr>
          <w:trHeight w:val="340"/>
        </w:trPr>
        <w:tc>
          <w:tcPr>
            <w:tcW w:w="964" w:type="pct"/>
            <w:tcBorders>
              <w:top w:val="nil"/>
              <w:left w:val="nil"/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145" w:rsidRPr="0049416E" w:rsidRDefault="00E41FF7" w:rsidP="00B87AF5">
            <w:pPr>
              <w:spacing w:before="60" w:after="60"/>
              <w:rPr>
                <w:i/>
                <w:lang w:val="ru-RU"/>
              </w:rPr>
            </w:pPr>
            <w:r w:rsidRPr="0049416E">
              <w:rPr>
                <w:i/>
                <w:lang w:val="ru-RU"/>
              </w:rPr>
              <w:t>Название зоны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145" w:rsidRPr="0049416E" w:rsidRDefault="00E41FF7" w:rsidP="00B87AF5">
            <w:pPr>
              <w:spacing w:before="60" w:after="60"/>
              <w:rPr>
                <w:i/>
                <w:lang w:val="ru-RU"/>
              </w:rPr>
            </w:pPr>
            <w:r w:rsidRPr="0049416E">
              <w:rPr>
                <w:i/>
                <w:lang w:val="ru-RU"/>
              </w:rPr>
              <w:t xml:space="preserve">Самостоятельно устанавливаемый дополнительный </w:t>
            </w:r>
            <w:r w:rsidRPr="0049416E">
              <w:rPr>
                <w:i/>
                <w:spacing w:val="-4"/>
                <w:lang w:val="ru-RU"/>
              </w:rPr>
              <w:t>тариф за отправление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591145" w:rsidRPr="0049416E" w:rsidRDefault="00E41FF7" w:rsidP="00E41FF7">
            <w:pPr>
              <w:spacing w:before="60" w:after="60"/>
              <w:rPr>
                <w:i/>
                <w:lang w:val="ru-RU"/>
              </w:rPr>
            </w:pPr>
            <w:r w:rsidRPr="0049416E">
              <w:rPr>
                <w:i/>
                <w:iCs/>
                <w:lang w:val="ru-RU"/>
              </w:rPr>
              <w:t>Валюта</w:t>
            </w:r>
            <w:r w:rsidR="00591145" w:rsidRPr="0049416E">
              <w:rPr>
                <w:i/>
                <w:iCs/>
                <w:lang w:val="ru-RU"/>
              </w:rPr>
              <w:t xml:space="preserve"> (</w:t>
            </w:r>
            <w:r w:rsidRPr="0049416E">
              <w:rPr>
                <w:i/>
                <w:iCs/>
                <w:lang w:val="ru-RU"/>
              </w:rPr>
              <w:t>местная валюта или СПЗ</w:t>
            </w:r>
            <w:r w:rsidR="00591145" w:rsidRPr="0049416E">
              <w:rPr>
                <w:i/>
                <w:iCs/>
                <w:lang w:val="ru-RU"/>
              </w:rPr>
              <w:t>)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591145" w:rsidRPr="0049416E" w:rsidRDefault="00E41FF7" w:rsidP="00B87AF5">
            <w:pPr>
              <w:spacing w:before="60" w:after="60"/>
              <w:rPr>
                <w:i/>
                <w:iCs/>
                <w:lang w:val="ru-RU"/>
              </w:rPr>
            </w:pPr>
            <w:r w:rsidRPr="0049416E">
              <w:rPr>
                <w:i/>
                <w:iCs/>
                <w:lang w:val="ru-RU"/>
              </w:rPr>
              <w:t>Диапазон почтовых индексов, определяющих зону доставки</w:t>
            </w:r>
          </w:p>
        </w:tc>
      </w:tr>
      <w:tr w:rsidR="00591145" w:rsidRPr="0049416E" w:rsidTr="0049416E">
        <w:trPr>
          <w:trHeight w:val="340"/>
        </w:trPr>
        <w:tc>
          <w:tcPr>
            <w:tcW w:w="964" w:type="pct"/>
            <w:tcBorders>
              <w:bottom w:val="single" w:sz="4" w:space="0" w:color="auto"/>
            </w:tcBorders>
          </w:tcPr>
          <w:p w:rsidR="00591145" w:rsidRPr="0049416E" w:rsidRDefault="00E41FF7" w:rsidP="00B87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Зона</w:t>
            </w:r>
            <w:r w:rsidR="00591145" w:rsidRPr="0049416E">
              <w:rPr>
                <w:lang w:val="ru-RU"/>
              </w:rPr>
              <w:t xml:space="preserve"> 1</w:t>
            </w: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  <w:tr w:rsidR="00591145" w:rsidRPr="0049416E" w:rsidTr="0049416E">
        <w:trPr>
          <w:trHeight w:val="340"/>
        </w:trPr>
        <w:tc>
          <w:tcPr>
            <w:tcW w:w="964" w:type="pct"/>
            <w:tcBorders>
              <w:bottom w:val="single" w:sz="4" w:space="0" w:color="auto"/>
            </w:tcBorders>
          </w:tcPr>
          <w:p w:rsidR="00591145" w:rsidRPr="0049416E" w:rsidRDefault="00E41FF7" w:rsidP="00B87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Зона</w:t>
            </w:r>
            <w:r w:rsidR="00591145" w:rsidRPr="0049416E">
              <w:rPr>
                <w:lang w:val="ru-RU"/>
              </w:rPr>
              <w:t xml:space="preserve"> 2</w:t>
            </w: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  <w:tr w:rsidR="00591145" w:rsidRPr="0049416E" w:rsidTr="0049416E">
        <w:trPr>
          <w:trHeight w:val="340"/>
        </w:trPr>
        <w:tc>
          <w:tcPr>
            <w:tcW w:w="964" w:type="pct"/>
            <w:tcBorders>
              <w:bottom w:val="single" w:sz="4" w:space="0" w:color="auto"/>
            </w:tcBorders>
          </w:tcPr>
          <w:p w:rsidR="00591145" w:rsidRPr="0049416E" w:rsidRDefault="00E41FF7" w:rsidP="00B87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Зона</w:t>
            </w:r>
            <w:r w:rsidR="00591145" w:rsidRPr="0049416E">
              <w:rPr>
                <w:lang w:val="ru-RU"/>
              </w:rPr>
              <w:t xml:space="preserve"> 3</w:t>
            </w: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</w:tbl>
    <w:p w:rsidR="00591145" w:rsidRPr="0049416E" w:rsidRDefault="00591145" w:rsidP="00591145">
      <w:pPr>
        <w:pStyle w:val="0Textedebase"/>
        <w:rPr>
          <w:b/>
          <w:bCs/>
        </w:rPr>
      </w:pPr>
    </w:p>
    <w:p w:rsidR="00591145" w:rsidRPr="0049416E" w:rsidRDefault="00E071C8" w:rsidP="00591145">
      <w:pPr>
        <w:pStyle w:val="0Textedebase"/>
      </w:pPr>
      <w:r w:rsidRPr="0049416E">
        <w:t xml:space="preserve">Если подтверждение доставки (POD) доступно в вашем национальном предложении в качестве дополнительной услуги, пожалуйста, укажите применимую дополнительную плату </w:t>
      </w:r>
      <w:r w:rsidRPr="0049416E">
        <w:rPr>
          <w:i/>
        </w:rPr>
        <w:t>в местной валюте</w:t>
      </w:r>
      <w:r w:rsidRPr="0049416E">
        <w:t xml:space="preserve"> в таблице </w:t>
      </w:r>
      <w:r w:rsidR="00591145" w:rsidRPr="0049416E">
        <w:t>2.</w:t>
      </w:r>
    </w:p>
    <w:p w:rsidR="00591145" w:rsidRPr="0049416E" w:rsidRDefault="00591145" w:rsidP="00591145">
      <w:pPr>
        <w:pStyle w:val="0Textedebase"/>
        <w:rPr>
          <w:i/>
          <w:iCs/>
        </w:rPr>
      </w:pPr>
    </w:p>
    <w:p w:rsidR="00591145" w:rsidRPr="0049416E" w:rsidRDefault="00E071C8" w:rsidP="00591145">
      <w:pPr>
        <w:pStyle w:val="0Textedebase"/>
        <w:rPr>
          <w:i/>
          <w:iCs/>
        </w:rPr>
      </w:pPr>
      <w:r w:rsidRPr="0049416E">
        <w:rPr>
          <w:i/>
          <w:iCs/>
        </w:rPr>
        <w:t>Таблица</w:t>
      </w:r>
      <w:r w:rsidR="00591145" w:rsidRPr="0049416E">
        <w:rPr>
          <w:i/>
          <w:iCs/>
        </w:rPr>
        <w:t xml:space="preserve"> 3 – </w:t>
      </w:r>
      <w:r w:rsidRPr="0049416E">
        <w:rPr>
          <w:i/>
          <w:iCs/>
        </w:rPr>
        <w:t>Дополнительная плата за подтверждение доставки внутри страны</w:t>
      </w:r>
    </w:p>
    <w:p w:rsidR="00591145" w:rsidRPr="0049416E" w:rsidRDefault="00591145" w:rsidP="00591145">
      <w:pPr>
        <w:pStyle w:val="0Textedebase"/>
        <w:rPr>
          <w:i/>
          <w:iCs/>
        </w:rPr>
      </w:pPr>
    </w:p>
    <w:tbl>
      <w:tblPr>
        <w:tblStyle w:val="a5"/>
        <w:tblW w:w="4880" w:type="pct"/>
        <w:tblInd w:w="108" w:type="dxa"/>
        <w:tblLook w:val="04A0" w:firstRow="1" w:lastRow="0" w:firstColumn="1" w:lastColumn="0" w:noHBand="0" w:noVBand="1"/>
      </w:tblPr>
      <w:tblGrid>
        <w:gridCol w:w="4753"/>
        <w:gridCol w:w="4865"/>
      </w:tblGrid>
      <w:tr w:rsidR="00591145" w:rsidRPr="0049416E" w:rsidTr="0049416E">
        <w:trPr>
          <w:trHeight w:val="340"/>
        </w:trPr>
        <w:tc>
          <w:tcPr>
            <w:tcW w:w="2471" w:type="pct"/>
            <w:tcBorders>
              <w:bottom w:val="single" w:sz="4" w:space="0" w:color="auto"/>
            </w:tcBorders>
          </w:tcPr>
          <w:p w:rsidR="00591145" w:rsidRPr="0049416E" w:rsidRDefault="00452AF5" w:rsidP="00452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Тариф за отправление</w:t>
            </w:r>
            <w:r w:rsidR="00591145" w:rsidRPr="0049416E">
              <w:rPr>
                <w:lang w:val="ru-RU"/>
              </w:rPr>
              <w:t xml:space="preserve"> (</w:t>
            </w:r>
            <w:r w:rsidRPr="0049416E">
              <w:rPr>
                <w:lang w:val="ru-RU"/>
              </w:rPr>
              <w:t>в местной валюте</w:t>
            </w:r>
            <w:r w:rsidR="00591145" w:rsidRPr="0049416E">
              <w:rPr>
                <w:lang w:val="ru-RU"/>
              </w:rPr>
              <w:t>)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</w:tbl>
    <w:p w:rsidR="00591145" w:rsidRPr="0049416E" w:rsidRDefault="00591145" w:rsidP="00591145">
      <w:pPr>
        <w:pStyle w:val="0Textedebase"/>
      </w:pPr>
    </w:p>
    <w:p w:rsidR="00591145" w:rsidRPr="0049416E" w:rsidRDefault="00452AF5" w:rsidP="00591145">
      <w:pPr>
        <w:spacing w:line="240" w:lineRule="auto"/>
        <w:rPr>
          <w:i/>
          <w:iCs/>
          <w:lang w:val="ru-RU"/>
        </w:rPr>
      </w:pPr>
      <w:r w:rsidRPr="0049416E">
        <w:rPr>
          <w:i/>
          <w:iCs/>
          <w:lang w:val="ru-RU"/>
        </w:rPr>
        <w:t>Таблица</w:t>
      </w:r>
      <w:r w:rsidR="00591145" w:rsidRPr="0049416E">
        <w:rPr>
          <w:i/>
          <w:iCs/>
          <w:lang w:val="ru-RU"/>
        </w:rPr>
        <w:t xml:space="preserve"> 4 – </w:t>
      </w:r>
      <w:r w:rsidR="00166C1E" w:rsidRPr="0049416E">
        <w:rPr>
          <w:i/>
          <w:iCs/>
          <w:lang w:val="ru-RU"/>
        </w:rPr>
        <w:t>Внутренний тариф на 250-граммовую посылку во внутреннем режиме, действующий с 1 мая 2026 года</w:t>
      </w:r>
    </w:p>
    <w:p w:rsidR="00591145" w:rsidRPr="0049416E" w:rsidRDefault="00591145" w:rsidP="00591145">
      <w:pPr>
        <w:pStyle w:val="0Textedebase"/>
        <w:spacing w:line="220" w:lineRule="atLeast"/>
        <w:rPr>
          <w:iCs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28"/>
      </w:tblGrid>
      <w:tr w:rsidR="00591145" w:rsidRPr="0049416E" w:rsidTr="0049416E">
        <w:tc>
          <w:tcPr>
            <w:tcW w:w="2472" w:type="pct"/>
            <w:shd w:val="clear" w:color="auto" w:fill="auto"/>
          </w:tcPr>
          <w:p w:rsidR="00591145" w:rsidRPr="0049416E" w:rsidRDefault="00166C1E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зональные цены не применяются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shd w:val="clear" w:color="auto" w:fill="auto"/>
          </w:tcPr>
          <w:p w:rsidR="00591145" w:rsidRPr="0049416E" w:rsidRDefault="00480D1C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Курс, если применяются зональные цены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480D1C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Если применяется зональное ценообразование, укажите, какой метод применяется для определения зонального тарифа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ab/>
            </w:r>
            <w:r w:rsidR="007B5968" w:rsidRPr="0049416E">
              <w:rPr>
                <w:lang w:val="ru-RU"/>
              </w:rPr>
              <w:t>Указанный выше зональный тариф соответствует фактическому средневзвешенному расстоянию между входящими посылками НО</w:t>
            </w:r>
            <w:r w:rsidR="007B5968" w:rsidRPr="0049416E">
              <w:rPr>
                <w:rStyle w:val="a4"/>
                <w:vertAlign w:val="baseline"/>
                <w:lang w:val="ru-RU"/>
              </w:rPr>
              <w:t xml:space="preserve"> </w:t>
            </w:r>
            <w:r w:rsidRPr="0049416E">
              <w:rPr>
                <w:rStyle w:val="a4"/>
                <w:lang w:val="ru-RU"/>
              </w:rPr>
              <w:footnoteReference w:id="2"/>
            </w:r>
          </w:p>
          <w:p w:rsidR="00591145" w:rsidRPr="0049416E" w:rsidRDefault="00591145" w:rsidP="00B87AF5">
            <w:pPr>
              <w:spacing w:before="60" w:after="6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lang w:val="ru-RU"/>
              </w:rPr>
              <w:tab/>
            </w:r>
            <w:r w:rsidR="00CC6BF0" w:rsidRPr="0049416E">
              <w:rPr>
                <w:lang w:val="ru-RU"/>
              </w:rPr>
              <w:t>Зональный тариф соответствует средней точке национальной зональной тарифной системы</w:t>
            </w: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B81375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Ставка НДС или другие налоги, включенные в стоимость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B81375" w:rsidP="00B8137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Формат/категория во внутренней службе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keepNext/>
              <w:keepLines/>
              <w:spacing w:before="60" w:after="60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D26347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Укажите, включен ли элемент услуги POD в базовую услугу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D26347" w:rsidRPr="0049416E">
              <w:rPr>
                <w:lang w:val="ru-RU"/>
              </w:rPr>
              <w:t>Да</w:t>
            </w:r>
            <w:r w:rsidRPr="0049416E">
              <w:rPr>
                <w:lang w:val="ru-RU"/>
              </w:rPr>
              <w:tab/>
            </w:r>
          </w:p>
          <w:p w:rsidR="00591145" w:rsidRPr="0049416E" w:rsidRDefault="00591145" w:rsidP="00D26347">
            <w:pPr>
              <w:spacing w:before="60" w:after="6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D26347" w:rsidRPr="0049416E">
              <w:rPr>
                <w:lang w:val="ru-RU"/>
              </w:rPr>
              <w:t>Нет</w:t>
            </w:r>
            <w:r w:rsidRPr="0049416E">
              <w:rPr>
                <w:lang w:val="ru-RU"/>
              </w:rPr>
              <w:tab/>
            </w: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D26347" w:rsidP="00B87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Адрес веб-сайта для просмотра этой информации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</w:tbl>
    <w:p w:rsidR="00591145" w:rsidRPr="0049416E" w:rsidRDefault="00591145" w:rsidP="00591145">
      <w:pPr>
        <w:spacing w:line="200" w:lineRule="atLeast"/>
        <w:jc w:val="both"/>
        <w:rPr>
          <w:lang w:val="ru-RU"/>
        </w:rPr>
      </w:pPr>
    </w:p>
    <w:p w:rsidR="0049416E" w:rsidRDefault="0049416E">
      <w:pPr>
        <w:spacing w:line="240" w:lineRule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:rsidR="00591145" w:rsidRPr="0049416E" w:rsidRDefault="00FE311A" w:rsidP="00591145">
      <w:pPr>
        <w:spacing w:line="200" w:lineRule="atLeast"/>
        <w:jc w:val="both"/>
        <w:rPr>
          <w:i/>
          <w:iCs/>
          <w:lang w:val="ru-RU"/>
        </w:rPr>
      </w:pPr>
      <w:r w:rsidRPr="0049416E">
        <w:rPr>
          <w:i/>
          <w:iCs/>
          <w:lang w:val="ru-RU"/>
        </w:rPr>
        <w:lastRenderedPageBreak/>
        <w:t>Таблица</w:t>
      </w:r>
      <w:r w:rsidR="00591145" w:rsidRPr="0049416E">
        <w:rPr>
          <w:i/>
          <w:iCs/>
          <w:lang w:val="ru-RU"/>
        </w:rPr>
        <w:t xml:space="preserve"> 5 – </w:t>
      </w:r>
      <w:r w:rsidRPr="0049416E">
        <w:rPr>
          <w:i/>
          <w:iCs/>
          <w:lang w:val="ru-RU"/>
        </w:rPr>
        <w:t>Внутренний тариф на 500-граммовую посылку во внутреннем режиме, действующий с 1 мая 2026 года</w:t>
      </w:r>
    </w:p>
    <w:p w:rsidR="00591145" w:rsidRPr="0049416E" w:rsidRDefault="00591145" w:rsidP="00591145">
      <w:pPr>
        <w:pStyle w:val="0Textedebase"/>
        <w:spacing w:line="220" w:lineRule="atLeast"/>
        <w:rPr>
          <w:i/>
          <w:iCs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28"/>
      </w:tblGrid>
      <w:tr w:rsidR="00591145" w:rsidRPr="0049416E" w:rsidTr="0049416E">
        <w:tc>
          <w:tcPr>
            <w:tcW w:w="2472" w:type="pct"/>
            <w:shd w:val="clear" w:color="auto" w:fill="auto"/>
          </w:tcPr>
          <w:p w:rsidR="00591145" w:rsidRPr="0049416E" w:rsidRDefault="00F30332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зональные цены не применяются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shd w:val="clear" w:color="auto" w:fill="auto"/>
          </w:tcPr>
          <w:p w:rsidR="00591145" w:rsidRPr="0049416E" w:rsidRDefault="00F30332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применяются зональные цены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F30332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Если применяется зональное ценообразование, укажите, какой метод применяется для определения зонального тарифа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ab/>
            </w:r>
            <w:r w:rsidR="000A3C8C" w:rsidRPr="0049416E">
              <w:rPr>
                <w:lang w:val="ru-RU"/>
              </w:rPr>
              <w:t>казанный выше зональный тариф соответствует фактическому средневзвешенному расстоянию между входящими посылками НО</w:t>
            </w:r>
            <w:r w:rsidR="000A3C8C" w:rsidRPr="0049416E">
              <w:rPr>
                <w:rStyle w:val="a4"/>
                <w:vertAlign w:val="baseline"/>
                <w:lang w:val="ru-RU"/>
              </w:rPr>
              <w:t xml:space="preserve"> </w:t>
            </w:r>
            <w:r w:rsidRPr="0049416E">
              <w:rPr>
                <w:rStyle w:val="a4"/>
                <w:lang w:val="ru-RU"/>
              </w:rPr>
              <w:footnoteReference w:id="3"/>
            </w:r>
          </w:p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lang w:val="ru-RU"/>
              </w:rPr>
              <w:tab/>
            </w:r>
            <w:r w:rsidR="000A3C8C" w:rsidRPr="0049416E">
              <w:rPr>
                <w:lang w:val="ru-RU"/>
              </w:rPr>
              <w:t>Зональный тариф соответствует средней точке национальной зональной тарифной системы</w:t>
            </w: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E9050B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Ставка</w:t>
            </w:r>
            <w:r w:rsidR="00AA31EA" w:rsidRPr="0049416E">
              <w:rPr>
                <w:lang w:val="ru-RU"/>
              </w:rPr>
              <w:t xml:space="preserve"> НДС или другие налоги, включенные в стоимость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AA31EA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Формат/категория во внутреннем режиме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keepNext/>
              <w:keepLines/>
              <w:spacing w:before="40" w:after="40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A8100A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Укажите, включен ли элемент услуги POD в базовую услугу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A8100A" w:rsidRPr="0049416E">
              <w:rPr>
                <w:lang w:val="ru-RU"/>
              </w:rPr>
              <w:t>Да</w:t>
            </w:r>
            <w:r w:rsidRPr="0049416E">
              <w:rPr>
                <w:lang w:val="ru-RU"/>
              </w:rPr>
              <w:tab/>
            </w:r>
          </w:p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A8100A" w:rsidRPr="0049416E">
              <w:rPr>
                <w:lang w:val="ru-RU"/>
              </w:rPr>
              <w:t>Нет</w:t>
            </w: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A8100A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Адрес веб-сайта для просмотра этой информации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rPr>
                <w:lang w:val="ru-RU"/>
              </w:rPr>
            </w:pPr>
          </w:p>
        </w:tc>
      </w:tr>
    </w:tbl>
    <w:p w:rsidR="00591145" w:rsidRPr="0049416E" w:rsidRDefault="00591145" w:rsidP="00591145">
      <w:pPr>
        <w:spacing w:line="200" w:lineRule="atLeast"/>
        <w:jc w:val="both"/>
        <w:rPr>
          <w:b/>
          <w:bCs/>
          <w:lang w:val="ru-RU"/>
        </w:rPr>
      </w:pPr>
    </w:p>
    <w:p w:rsidR="00591145" w:rsidRPr="0049416E" w:rsidRDefault="003E04E9" w:rsidP="0049416E">
      <w:pPr>
        <w:spacing w:line="240" w:lineRule="auto"/>
        <w:jc w:val="both"/>
        <w:rPr>
          <w:i/>
          <w:iCs/>
          <w:lang w:val="ru-RU"/>
        </w:rPr>
      </w:pPr>
      <w:r w:rsidRPr="0049416E">
        <w:rPr>
          <w:i/>
          <w:iCs/>
          <w:lang w:val="ru-RU"/>
        </w:rPr>
        <w:t>Таблица</w:t>
      </w:r>
      <w:r w:rsidR="00591145" w:rsidRPr="0049416E">
        <w:rPr>
          <w:i/>
          <w:iCs/>
          <w:lang w:val="ru-RU"/>
        </w:rPr>
        <w:t xml:space="preserve"> 6 – </w:t>
      </w:r>
      <w:r w:rsidRPr="0049416E">
        <w:rPr>
          <w:i/>
          <w:iCs/>
          <w:lang w:val="ru-RU"/>
        </w:rPr>
        <w:t>Внутренний тариф на посылку весом 1 килограмм, применяемый во внутреннем режиме, действует с 1 мая 2026 года</w:t>
      </w:r>
    </w:p>
    <w:p w:rsidR="00591145" w:rsidRPr="0049416E" w:rsidRDefault="00591145" w:rsidP="00591145">
      <w:pPr>
        <w:pStyle w:val="0Textedebase"/>
        <w:spacing w:line="220" w:lineRule="atLeast"/>
        <w:rPr>
          <w:i/>
          <w:iCs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28"/>
      </w:tblGrid>
      <w:tr w:rsidR="00591145" w:rsidRPr="0049416E" w:rsidTr="0049416E">
        <w:tc>
          <w:tcPr>
            <w:tcW w:w="2472" w:type="pct"/>
            <w:shd w:val="clear" w:color="auto" w:fill="auto"/>
          </w:tcPr>
          <w:p w:rsidR="00591145" w:rsidRPr="0049416E" w:rsidRDefault="00920997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зональные цены не применяются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shd w:val="clear" w:color="auto" w:fill="auto"/>
          </w:tcPr>
          <w:p w:rsidR="00591145" w:rsidRPr="0049416E" w:rsidRDefault="00920997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применяются зональные цены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920997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Если применяется зональное ценообразование, укажите, какой метод применяется для определения зонального тарифа: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ab/>
            </w:r>
            <w:r w:rsidR="00030E1D" w:rsidRPr="0049416E">
              <w:rPr>
                <w:lang w:val="ru-RU"/>
              </w:rPr>
              <w:t>Указанный выше зональный тариф соответствует фактическому средневзвешенному расстоянию между входящими посылками НО</w:t>
            </w:r>
            <w:r w:rsidRPr="0049416E">
              <w:rPr>
                <w:rStyle w:val="a4"/>
                <w:lang w:val="ru-RU"/>
              </w:rPr>
              <w:footnoteReference w:id="4"/>
            </w:r>
          </w:p>
          <w:p w:rsidR="00591145" w:rsidRPr="0049416E" w:rsidRDefault="00591145" w:rsidP="00B87AF5">
            <w:pPr>
              <w:spacing w:before="60" w:after="6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lang w:val="ru-RU"/>
              </w:rPr>
              <w:tab/>
            </w:r>
            <w:r w:rsidR="00030E1D" w:rsidRPr="0049416E">
              <w:rPr>
                <w:lang w:val="ru-RU"/>
              </w:rPr>
              <w:t>Зональный тариф соответствует средней точке национальной зональной тарифной системы</w:t>
            </w: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E9050B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Ставка</w:t>
            </w:r>
            <w:r w:rsidR="004B24CD" w:rsidRPr="0049416E">
              <w:rPr>
                <w:lang w:val="ru-RU"/>
              </w:rPr>
              <w:t xml:space="preserve">  НДС или другие налоги, включенные в стоимость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4B24CD" w:rsidP="004B24CD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Формат/категория во внутреннем режиме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keepNext/>
              <w:keepLines/>
              <w:spacing w:before="60" w:after="60"/>
              <w:rPr>
                <w:lang w:val="ru-RU"/>
              </w:rPr>
            </w:pP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4B24CD" w:rsidP="004B24CD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Укажите, включен ли элемент услуги POD в базовую услугу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4B24CD" w:rsidRPr="0049416E">
              <w:rPr>
                <w:lang w:val="ru-RU"/>
              </w:rPr>
              <w:t>Да</w:t>
            </w:r>
            <w:r w:rsidRPr="0049416E">
              <w:rPr>
                <w:lang w:val="ru-RU"/>
              </w:rPr>
              <w:tab/>
            </w:r>
          </w:p>
          <w:p w:rsidR="00591145" w:rsidRPr="0049416E" w:rsidRDefault="00591145" w:rsidP="004B24CD">
            <w:pPr>
              <w:spacing w:before="60" w:after="6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4B24CD" w:rsidRPr="0049416E">
              <w:rPr>
                <w:lang w:val="ru-RU"/>
              </w:rPr>
              <w:t>Нет</w:t>
            </w:r>
            <w:r w:rsidRPr="0049416E">
              <w:rPr>
                <w:lang w:val="ru-RU"/>
              </w:rPr>
              <w:tab/>
            </w:r>
          </w:p>
        </w:tc>
      </w:tr>
      <w:tr w:rsidR="00591145" w:rsidRPr="0049416E" w:rsidTr="0049416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4B24CD" w:rsidP="00B87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Адрес веб-сайта для просмотра этой информации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</w:tbl>
    <w:p w:rsidR="00591145" w:rsidRPr="0049416E" w:rsidRDefault="004B24CD" w:rsidP="003E2B7E">
      <w:pPr>
        <w:spacing w:line="240" w:lineRule="auto"/>
        <w:jc w:val="both"/>
        <w:rPr>
          <w:i/>
          <w:iCs/>
          <w:lang w:val="ru-RU"/>
        </w:rPr>
      </w:pPr>
      <w:r w:rsidRPr="0049416E">
        <w:rPr>
          <w:i/>
          <w:iCs/>
          <w:lang w:val="ru-RU"/>
        </w:rPr>
        <w:lastRenderedPageBreak/>
        <w:t>Таблица</w:t>
      </w:r>
      <w:r w:rsidR="00591145" w:rsidRPr="0049416E">
        <w:rPr>
          <w:i/>
          <w:iCs/>
          <w:lang w:val="ru-RU"/>
        </w:rPr>
        <w:t xml:space="preserve"> 7 – </w:t>
      </w:r>
      <w:r w:rsidR="00A5439F" w:rsidRPr="0049416E">
        <w:rPr>
          <w:i/>
          <w:iCs/>
          <w:lang w:val="ru-RU"/>
        </w:rPr>
        <w:t>Внутренний тариф на 2-килограммовую посылку во внутреннем режиме, действующий с 1 мая 2026 года</w:t>
      </w:r>
    </w:p>
    <w:p w:rsidR="00591145" w:rsidRPr="0049416E" w:rsidRDefault="00591145" w:rsidP="00591145">
      <w:pPr>
        <w:pStyle w:val="0Textedebase"/>
        <w:spacing w:line="220" w:lineRule="atLeast"/>
        <w:rPr>
          <w:i/>
          <w:iCs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28"/>
      </w:tblGrid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CE2F65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зональные цены не применяются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CE2F65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применяются зональные цены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CE2F65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Если применяется зональное ценообразование, укажите, какой метод применяется для определения зонального тарифа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ab/>
            </w:r>
            <w:r w:rsidR="00CE2F65" w:rsidRPr="0049416E">
              <w:rPr>
                <w:lang w:val="ru-RU"/>
              </w:rPr>
              <w:t>Указанный выше зональный тариф соответствует фактическому средневзвешенному расстоянию между входящими посылками DO</w:t>
            </w:r>
            <w:r w:rsidR="00CE2F65" w:rsidRPr="0049416E">
              <w:rPr>
                <w:rStyle w:val="a4"/>
                <w:vertAlign w:val="baseline"/>
                <w:lang w:val="ru-RU"/>
              </w:rPr>
              <w:t xml:space="preserve"> </w:t>
            </w:r>
            <w:r w:rsidRPr="0049416E">
              <w:rPr>
                <w:rStyle w:val="a4"/>
                <w:lang w:val="ru-RU"/>
              </w:rPr>
              <w:footnoteReference w:id="5"/>
            </w:r>
          </w:p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lang w:val="ru-RU"/>
              </w:rPr>
              <w:tab/>
            </w:r>
            <w:r w:rsidR="00CE2F65" w:rsidRPr="0049416E">
              <w:rPr>
                <w:lang w:val="ru-RU"/>
              </w:rPr>
              <w:t>Зональный тариф соответствует средней точке внутренней зональной тарифной системы</w:t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7A1E76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Ставка</w:t>
            </w:r>
            <w:r w:rsidR="006A3402" w:rsidRPr="0049416E">
              <w:rPr>
                <w:lang w:val="ru-RU"/>
              </w:rPr>
              <w:t xml:space="preserve"> НДС или другие налоги, включенные в стоимость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6A3402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Формат/категория во внутреннем режиме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keepNext/>
              <w:keepLines/>
              <w:spacing w:before="40" w:after="40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6A3402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Укажите, включен ли элемент услуги POD в базовую услугу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6A3402" w:rsidRPr="0049416E">
              <w:rPr>
                <w:lang w:val="ru-RU"/>
              </w:rPr>
              <w:t>Да</w:t>
            </w:r>
          </w:p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6A3402" w:rsidRPr="0049416E">
              <w:rPr>
                <w:lang w:val="ru-RU"/>
              </w:rPr>
              <w:t>Нет</w:t>
            </w:r>
            <w:r w:rsidRPr="0049416E">
              <w:rPr>
                <w:lang w:val="ru-RU"/>
              </w:rPr>
              <w:tab/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6A3402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Адрес веб-сайта для просмотра этой информации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rPr>
                <w:lang w:val="ru-RU"/>
              </w:rPr>
            </w:pPr>
          </w:p>
        </w:tc>
      </w:tr>
    </w:tbl>
    <w:p w:rsidR="00591145" w:rsidRPr="0049416E" w:rsidRDefault="00591145" w:rsidP="00591145">
      <w:pPr>
        <w:spacing w:line="200" w:lineRule="atLeast"/>
        <w:jc w:val="both"/>
        <w:rPr>
          <w:b/>
          <w:bCs/>
          <w:lang w:val="ru-RU"/>
        </w:rPr>
      </w:pPr>
    </w:p>
    <w:p w:rsidR="00591145" w:rsidRPr="0049416E" w:rsidRDefault="00C608F5" w:rsidP="003E2B7E">
      <w:pPr>
        <w:spacing w:line="240" w:lineRule="auto"/>
        <w:jc w:val="both"/>
        <w:rPr>
          <w:i/>
          <w:iCs/>
          <w:lang w:val="ru-RU"/>
        </w:rPr>
      </w:pPr>
      <w:r w:rsidRPr="0049416E">
        <w:rPr>
          <w:i/>
          <w:iCs/>
          <w:lang w:val="ru-RU"/>
        </w:rPr>
        <w:t>Таблица</w:t>
      </w:r>
      <w:r w:rsidR="00591145" w:rsidRPr="0049416E">
        <w:rPr>
          <w:i/>
          <w:iCs/>
          <w:lang w:val="ru-RU"/>
        </w:rPr>
        <w:t xml:space="preserve"> 8 – </w:t>
      </w:r>
      <w:r w:rsidRPr="0049416E">
        <w:rPr>
          <w:i/>
          <w:iCs/>
          <w:lang w:val="ru-RU"/>
        </w:rPr>
        <w:t>Внутренний тариф на 5-килограммовую посылку во внутреннем режиме, действующий с 1 мая 2026 года</w:t>
      </w:r>
    </w:p>
    <w:p w:rsidR="00591145" w:rsidRPr="0049416E" w:rsidRDefault="00591145" w:rsidP="00591145">
      <w:pPr>
        <w:pStyle w:val="0Textedebase"/>
        <w:spacing w:line="220" w:lineRule="atLeast"/>
        <w:rPr>
          <w:i/>
          <w:iCs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28"/>
      </w:tblGrid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C549E3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зональные цены не применяются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C549E3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применяются зональные цены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C549E3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Если применяется зональное ценообразование, укажите, какой метод применяется для определения зонального тарифа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ab/>
            </w:r>
            <w:r w:rsidR="0026368B" w:rsidRPr="0049416E">
              <w:rPr>
                <w:lang w:val="ru-RU"/>
              </w:rPr>
              <w:t>Указанный выше зональный тариф соответствует фактическому средневзвешенному расстоянию между входящими посылками DO</w:t>
            </w:r>
            <w:r w:rsidR="0026368B" w:rsidRPr="0049416E">
              <w:rPr>
                <w:rStyle w:val="a4"/>
                <w:vertAlign w:val="baseline"/>
                <w:lang w:val="ru-RU"/>
              </w:rPr>
              <w:t xml:space="preserve"> </w:t>
            </w:r>
            <w:r w:rsidRPr="0049416E">
              <w:rPr>
                <w:rStyle w:val="a4"/>
                <w:lang w:val="ru-RU"/>
              </w:rPr>
              <w:footnoteReference w:id="6"/>
            </w:r>
          </w:p>
          <w:p w:rsidR="00591145" w:rsidRPr="0049416E" w:rsidRDefault="00591145" w:rsidP="00B87AF5">
            <w:pPr>
              <w:spacing w:before="60" w:after="6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lang w:val="ru-RU"/>
              </w:rPr>
              <w:tab/>
            </w:r>
            <w:r w:rsidR="0026368B" w:rsidRPr="0049416E">
              <w:rPr>
                <w:lang w:val="ru-RU"/>
              </w:rPr>
              <w:t>Зональный тариф соответствует средней точке национальной зональной тарифной системы</w:t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7A1E76" w:rsidP="00B87AF5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Ставка НДС или другие налоги, включенные в стоимость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7174D4" w:rsidP="007174D4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Формат/категория во внутреннем режиме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keepNext/>
              <w:keepLines/>
              <w:spacing w:before="60" w:after="60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7174D4" w:rsidP="007174D4">
            <w:pPr>
              <w:spacing w:before="60" w:after="6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Укажите, включен ли элемент услуги POD в базовую услугу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7174D4" w:rsidRPr="0049416E">
              <w:rPr>
                <w:lang w:val="ru-RU"/>
              </w:rPr>
              <w:t>Да</w:t>
            </w:r>
            <w:r w:rsidRPr="0049416E">
              <w:rPr>
                <w:lang w:val="ru-RU"/>
              </w:rPr>
              <w:tab/>
            </w:r>
          </w:p>
          <w:p w:rsidR="00591145" w:rsidRPr="0049416E" w:rsidRDefault="00591145" w:rsidP="007174D4">
            <w:pPr>
              <w:spacing w:before="60" w:after="6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7174D4" w:rsidRPr="0049416E">
              <w:rPr>
                <w:lang w:val="ru-RU"/>
              </w:rPr>
              <w:t>Нет</w:t>
            </w:r>
            <w:r w:rsidRPr="0049416E">
              <w:rPr>
                <w:lang w:val="ru-RU"/>
              </w:rPr>
              <w:tab/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7174D4" w:rsidP="00B87AF5">
            <w:pPr>
              <w:spacing w:before="60" w:after="60"/>
              <w:rPr>
                <w:lang w:val="ru-RU"/>
              </w:rPr>
            </w:pPr>
            <w:r w:rsidRPr="0049416E">
              <w:rPr>
                <w:lang w:val="ru-RU"/>
              </w:rPr>
              <w:t>Адрес веб-сайта для просмотра этой информации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B87AF5">
            <w:pPr>
              <w:spacing w:before="60" w:after="60"/>
              <w:rPr>
                <w:lang w:val="ru-RU"/>
              </w:rPr>
            </w:pPr>
          </w:p>
        </w:tc>
      </w:tr>
    </w:tbl>
    <w:p w:rsidR="00591145" w:rsidRPr="0049416E" w:rsidRDefault="007174D4" w:rsidP="00591145">
      <w:pPr>
        <w:spacing w:line="240" w:lineRule="auto"/>
        <w:rPr>
          <w:i/>
          <w:iCs/>
          <w:lang w:val="ru-RU"/>
        </w:rPr>
      </w:pPr>
      <w:r w:rsidRPr="0049416E">
        <w:rPr>
          <w:i/>
          <w:iCs/>
          <w:lang w:val="ru-RU"/>
        </w:rPr>
        <w:lastRenderedPageBreak/>
        <w:t>Таблица</w:t>
      </w:r>
      <w:r w:rsidR="00591145" w:rsidRPr="0049416E">
        <w:rPr>
          <w:i/>
          <w:iCs/>
          <w:lang w:val="ru-RU"/>
        </w:rPr>
        <w:t xml:space="preserve"> 9 – </w:t>
      </w:r>
      <w:r w:rsidRPr="0049416E">
        <w:rPr>
          <w:i/>
          <w:iCs/>
          <w:lang w:val="ru-RU"/>
        </w:rPr>
        <w:t>Внутренний тариф на 10-килограммовую посылку во внутреннем режиме, действующий с 1 мая 2026 года</w:t>
      </w:r>
    </w:p>
    <w:p w:rsidR="00591145" w:rsidRPr="0049416E" w:rsidRDefault="00591145" w:rsidP="00591145">
      <w:pPr>
        <w:pStyle w:val="0Textedebase"/>
        <w:spacing w:line="220" w:lineRule="atLeast"/>
        <w:rPr>
          <w:i/>
          <w:iCs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28"/>
      </w:tblGrid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F63438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зональные цены не применяются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F63438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применяются зональные цены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F63438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Если применяется зональное ценообразование, укажите, какой метод применяется для определения зонального тарифа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ab/>
            </w:r>
            <w:r w:rsidR="00ED1028" w:rsidRPr="0049416E">
              <w:rPr>
                <w:lang w:val="ru-RU"/>
              </w:rPr>
              <w:t>Указанный выше зональный тариф соответствует фактическому средневзвешенному расстоянию между входящими посылками НО</w:t>
            </w:r>
            <w:r w:rsidR="00ED1028" w:rsidRPr="0049416E">
              <w:rPr>
                <w:rStyle w:val="a4"/>
                <w:vertAlign w:val="baseline"/>
                <w:lang w:val="ru-RU"/>
              </w:rPr>
              <w:t xml:space="preserve"> </w:t>
            </w:r>
            <w:r w:rsidRPr="0049416E">
              <w:rPr>
                <w:rStyle w:val="a4"/>
                <w:lang w:val="ru-RU"/>
              </w:rPr>
              <w:footnoteReference w:id="7"/>
            </w:r>
          </w:p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lang w:val="ru-RU"/>
              </w:rPr>
              <w:tab/>
            </w:r>
            <w:r w:rsidR="005B0314" w:rsidRPr="0049416E">
              <w:rPr>
                <w:lang w:val="ru-RU"/>
              </w:rPr>
              <w:t>Зональный тариф соответствует средней точке национальной зональной тарифной системы</w:t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FC4B09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Ставка НДС или другие налоги, включенные в стоимость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FC4B09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Формат/категория во внутреннем режиме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keepNext/>
              <w:keepLines/>
              <w:spacing w:before="40" w:after="40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FC4B09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Укажите, включен ли элемент услуги POD в базовую услугу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FC4B09" w:rsidRPr="0049416E">
              <w:rPr>
                <w:lang w:val="ru-RU"/>
              </w:rPr>
              <w:t>Да</w:t>
            </w:r>
          </w:p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FC4B09" w:rsidRPr="0049416E">
              <w:rPr>
                <w:lang w:val="ru-RU"/>
              </w:rPr>
              <w:t>Нет</w:t>
            </w:r>
            <w:r w:rsidRPr="0049416E">
              <w:rPr>
                <w:lang w:val="ru-RU"/>
              </w:rPr>
              <w:tab/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FC4B09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Адрес веб-сайта для просмотра этой информации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rPr>
                <w:lang w:val="ru-RU"/>
              </w:rPr>
            </w:pPr>
          </w:p>
        </w:tc>
      </w:tr>
    </w:tbl>
    <w:p w:rsidR="00591145" w:rsidRPr="0049416E" w:rsidRDefault="00591145" w:rsidP="00591145">
      <w:pPr>
        <w:spacing w:line="200" w:lineRule="atLeast"/>
        <w:jc w:val="both"/>
        <w:rPr>
          <w:b/>
          <w:bCs/>
          <w:lang w:val="ru-RU"/>
        </w:rPr>
      </w:pPr>
    </w:p>
    <w:p w:rsidR="00591145" w:rsidRPr="0049416E" w:rsidRDefault="00FC4B09" w:rsidP="00591145">
      <w:pPr>
        <w:spacing w:line="240" w:lineRule="auto"/>
        <w:rPr>
          <w:i/>
          <w:iCs/>
          <w:lang w:val="ru-RU"/>
        </w:rPr>
      </w:pPr>
      <w:r w:rsidRPr="0049416E">
        <w:rPr>
          <w:i/>
          <w:iCs/>
          <w:lang w:val="ru-RU"/>
        </w:rPr>
        <w:t>Таблица</w:t>
      </w:r>
      <w:r w:rsidR="00591145" w:rsidRPr="0049416E">
        <w:rPr>
          <w:i/>
          <w:iCs/>
          <w:lang w:val="ru-RU"/>
        </w:rPr>
        <w:t xml:space="preserve"> 10 – </w:t>
      </w:r>
      <w:r w:rsidRPr="0049416E">
        <w:rPr>
          <w:i/>
          <w:iCs/>
          <w:lang w:val="ru-RU"/>
        </w:rPr>
        <w:t>Внутренний тариф на 20-килограммовую посылку во внутреннем режиме, действующий с 1 мая 2026 года</w:t>
      </w:r>
    </w:p>
    <w:p w:rsidR="00591145" w:rsidRPr="0049416E" w:rsidRDefault="00591145" w:rsidP="00591145">
      <w:pPr>
        <w:pStyle w:val="0Textedebase"/>
        <w:spacing w:line="220" w:lineRule="atLeast"/>
        <w:rPr>
          <w:i/>
          <w:iCs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28"/>
      </w:tblGrid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8E4026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зональные цены не применяются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shd w:val="clear" w:color="auto" w:fill="auto"/>
          </w:tcPr>
          <w:p w:rsidR="00591145" w:rsidRPr="0049416E" w:rsidRDefault="008E4026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Тариф, если применяются зональные цены (в местной валюте)</w:t>
            </w:r>
          </w:p>
        </w:tc>
        <w:tc>
          <w:tcPr>
            <w:tcW w:w="2528" w:type="pct"/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8E4026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Если применяется зональное ценообразование, укажите, какой метод применяется для определения зонального тарифа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ab/>
            </w:r>
            <w:r w:rsidR="008E4026" w:rsidRPr="0049416E">
              <w:rPr>
                <w:lang w:val="ru-RU"/>
              </w:rPr>
              <w:t>Указанный выше зональный тариф соответствует фактическому средневзвешенному расстоянию между входящими посылками НО</w:t>
            </w:r>
            <w:r w:rsidR="008E4026" w:rsidRPr="0049416E">
              <w:rPr>
                <w:rStyle w:val="a4"/>
                <w:vertAlign w:val="baseline"/>
                <w:lang w:val="ru-RU"/>
              </w:rPr>
              <w:t xml:space="preserve"> </w:t>
            </w:r>
            <w:r w:rsidRPr="0049416E">
              <w:rPr>
                <w:rStyle w:val="a4"/>
                <w:lang w:val="ru-RU"/>
              </w:rPr>
              <w:footnoteReference w:id="8"/>
            </w:r>
          </w:p>
          <w:p w:rsidR="00591145" w:rsidRPr="0049416E" w:rsidRDefault="00591145" w:rsidP="003E2B7E">
            <w:pPr>
              <w:spacing w:before="40" w:after="40"/>
              <w:ind w:left="459" w:hanging="459"/>
              <w:jc w:val="both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lang w:val="ru-RU"/>
              </w:rPr>
              <w:tab/>
            </w:r>
            <w:r w:rsidR="002523B0" w:rsidRPr="0049416E">
              <w:rPr>
                <w:lang w:val="ru-RU"/>
              </w:rPr>
              <w:t>Зональный тариф соответствует средней точке национальной зональной тарифной системы</w:t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E75806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Ставка НДС или другие налоги, включенные в стоимость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E75806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Формат/категория во внутреннем режиме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keepNext/>
              <w:keepLines/>
              <w:spacing w:before="40" w:after="40"/>
              <w:rPr>
                <w:lang w:val="ru-RU"/>
              </w:rPr>
            </w:pP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E75806" w:rsidP="003E2B7E">
            <w:pPr>
              <w:spacing w:before="40" w:after="40"/>
              <w:jc w:val="both"/>
              <w:rPr>
                <w:lang w:val="ru-RU"/>
              </w:rPr>
            </w:pPr>
            <w:r w:rsidRPr="0049416E">
              <w:rPr>
                <w:lang w:val="ru-RU"/>
              </w:rPr>
              <w:t>Укажите, включен ли элемент услуги POD в базовую услугу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E75806" w:rsidRPr="0049416E">
              <w:rPr>
                <w:lang w:val="ru-RU"/>
              </w:rPr>
              <w:t>Да</w:t>
            </w:r>
            <w:r w:rsidRPr="0049416E">
              <w:rPr>
                <w:lang w:val="ru-RU"/>
              </w:rPr>
              <w:tab/>
            </w:r>
          </w:p>
          <w:p w:rsidR="00591145" w:rsidRPr="0049416E" w:rsidRDefault="00591145" w:rsidP="003E2B7E">
            <w:pPr>
              <w:spacing w:before="40" w:after="40"/>
              <w:ind w:left="460" w:hanging="460"/>
              <w:rPr>
                <w:lang w:val="ru-RU"/>
              </w:rPr>
            </w:pPr>
            <w:r w:rsidRPr="0049416E">
              <w:rPr>
                <w:sz w:val="24"/>
                <w:szCs w:val="24"/>
                <w:lang w:val="ru-RU"/>
              </w:rPr>
              <w:sym w:font="Wingdings" w:char="F072"/>
            </w:r>
            <w:r w:rsidRPr="0049416E">
              <w:rPr>
                <w:sz w:val="24"/>
                <w:szCs w:val="24"/>
                <w:lang w:val="ru-RU"/>
              </w:rPr>
              <w:t xml:space="preserve"> </w:t>
            </w:r>
            <w:r w:rsidR="00E75806" w:rsidRPr="0049416E">
              <w:rPr>
                <w:lang w:val="ru-RU"/>
              </w:rPr>
              <w:t>Нет</w:t>
            </w:r>
            <w:r w:rsidRPr="0049416E">
              <w:rPr>
                <w:lang w:val="ru-RU"/>
              </w:rPr>
              <w:tab/>
            </w:r>
          </w:p>
        </w:tc>
      </w:tr>
      <w:tr w:rsidR="00591145" w:rsidRPr="0049416E" w:rsidTr="003E2B7E"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E75806" w:rsidP="003E2B7E">
            <w:pPr>
              <w:spacing w:before="40" w:after="40"/>
              <w:rPr>
                <w:lang w:val="ru-RU"/>
              </w:rPr>
            </w:pPr>
            <w:r w:rsidRPr="0049416E">
              <w:rPr>
                <w:lang w:val="ru-RU"/>
              </w:rPr>
              <w:t>Адрес веб-сайта для просмотра этой информации</w:t>
            </w:r>
          </w:p>
        </w:tc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145" w:rsidRPr="0049416E" w:rsidRDefault="00591145" w:rsidP="003E2B7E">
            <w:pPr>
              <w:spacing w:before="40" w:after="40"/>
              <w:rPr>
                <w:lang w:val="ru-RU"/>
              </w:rPr>
            </w:pPr>
          </w:p>
        </w:tc>
        <w:bookmarkStart w:id="0" w:name="_GoBack"/>
        <w:bookmarkEnd w:id="0"/>
      </w:tr>
    </w:tbl>
    <w:p w:rsidR="001C2A18" w:rsidRPr="0049416E" w:rsidRDefault="001C2A18" w:rsidP="00591145">
      <w:pPr>
        <w:rPr>
          <w:lang w:val="ru-RU"/>
        </w:rPr>
      </w:pPr>
    </w:p>
    <w:sectPr w:rsidR="001C2A18" w:rsidRPr="0049416E">
      <w:headerReference w:type="even" r:id="rId10"/>
      <w:headerReference w:type="default" r:id="rId11"/>
      <w:headerReference w:type="first" r:id="rId12"/>
      <w:pgSz w:w="11907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8B" w:rsidRDefault="0025158B">
      <w:pPr>
        <w:spacing w:line="240" w:lineRule="auto"/>
      </w:pPr>
      <w:r>
        <w:separator/>
      </w:r>
    </w:p>
  </w:endnote>
  <w:endnote w:type="continuationSeparator" w:id="0">
    <w:p w:rsidR="0025158B" w:rsidRDefault="00251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8B" w:rsidRDefault="0025158B">
      <w:pPr>
        <w:spacing w:line="240" w:lineRule="auto"/>
      </w:pPr>
    </w:p>
  </w:footnote>
  <w:footnote w:type="continuationSeparator" w:id="0">
    <w:p w:rsidR="0025158B" w:rsidRDefault="0025158B">
      <w:pPr>
        <w:spacing w:line="240" w:lineRule="auto"/>
      </w:pPr>
      <w:r>
        <w:continuationSeparator/>
      </w:r>
    </w:p>
  </w:footnote>
  <w:footnote w:id="1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Pr="0049416E">
        <w:rPr>
          <w:lang w:val="ru-RU"/>
        </w:rPr>
        <w:t xml:space="preserve"> </w:t>
      </w:r>
      <w:r w:rsidR="00847422" w:rsidRPr="0049416E">
        <w:rPr>
          <w:lang w:val="ru-RU"/>
        </w:rPr>
        <w:t>Если НО самостоятельно устанавливает дополнительные тарифы на доставку посылок в несмежных зонах, вместе с этим уведомлением необходимо предоставить заполненный инструмент расчета тарифа оплаты за посылку (доступен по адресу: upu.int/en/parcels).</w:t>
      </w:r>
    </w:p>
  </w:footnote>
  <w:footnote w:id="2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Pr="0049416E">
        <w:rPr>
          <w:lang w:val="ru-RU"/>
        </w:rPr>
        <w:t xml:space="preserve"> </w:t>
      </w:r>
      <w:r w:rsidR="002D287E" w:rsidRPr="0049416E">
        <w:rPr>
          <w:lang w:val="ru-RU"/>
        </w:rPr>
        <w:t>При условии принятия СПЭ предложения, содержащегося в СПЭ К 2 2026.1–Док 7.Приложение 44 на сессии СПЭ 2026.1 (S1), если НО решит применить методологию расчета среднего расстояния к зональным тарифам, среднее расстояние с подтверждающими данными должно быть предоставлено до официального объявления или вместе с ним. Это предложение должно вступить в силу 1 января 2027 года и вытекает из решений Дубайского конгресса</w:t>
      </w:r>
      <w:r w:rsidRPr="0049416E">
        <w:rPr>
          <w:lang w:val="ru-RU"/>
        </w:rPr>
        <w:t>.</w:t>
      </w:r>
    </w:p>
  </w:footnote>
  <w:footnote w:id="3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Pr="0049416E">
        <w:rPr>
          <w:lang w:val="ru-RU"/>
        </w:rPr>
        <w:t xml:space="preserve"> </w:t>
      </w:r>
      <w:r w:rsidR="005F74AF" w:rsidRPr="0049416E">
        <w:rPr>
          <w:lang w:val="ru-RU"/>
        </w:rPr>
        <w:t>В соответствии со статьей 33-201.4.4 Регламента Конвенции, если НО решит применить методологию расчета среднего расстояния к зональным тарифам, среднее расстояние с подтверждающими данными должно быть предоставлено до официального объявления или вместе с ним. В эту статью еще не внесены соответствующие поправки, вытекающие из решений Дубайского конгресса, и предлагается, чтобы она вступила в силу 1 января 2027 года.</w:t>
      </w:r>
    </w:p>
  </w:footnote>
  <w:footnote w:id="4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Pr="0049416E">
        <w:rPr>
          <w:lang w:val="ru-RU"/>
        </w:rPr>
        <w:t xml:space="preserve"> </w:t>
      </w:r>
      <w:r w:rsidR="008F42FA" w:rsidRPr="0049416E">
        <w:rPr>
          <w:lang w:val="ru-RU"/>
        </w:rPr>
        <w:t>В соот</w:t>
      </w:r>
      <w:r w:rsidR="0049416E">
        <w:rPr>
          <w:lang w:val="ru-RU"/>
        </w:rPr>
        <w:t xml:space="preserve">ветствии со статьей 33-201.4.4 </w:t>
      </w:r>
      <w:r w:rsidR="008F42FA" w:rsidRPr="0049416E">
        <w:rPr>
          <w:lang w:val="ru-RU"/>
        </w:rPr>
        <w:t>Регламента Конвенции, если НО решит применить методологию расчета среднего расстояния к зональным тарифам, среднее расстояние с подтверждающими данными должно быть предоставлено до официального объявления или вместе с ним. В эту статью еще не внесены соответствующие поправки, вытекающие из решений Дубайского конгресса, и предлагается, чтобы она вступила в силу 1 января 2027 года.</w:t>
      </w:r>
    </w:p>
  </w:footnote>
  <w:footnote w:id="5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Pr="0049416E">
        <w:rPr>
          <w:lang w:val="ru-RU"/>
        </w:rPr>
        <w:t xml:space="preserve"> </w:t>
      </w:r>
      <w:r w:rsidR="002B56BD" w:rsidRPr="0049416E">
        <w:rPr>
          <w:lang w:val="ru-RU"/>
        </w:rPr>
        <w:t>В соответствии со статьей 33-201.4.4 Регламента Конвенции, если НО решит применить методологию расчета среднего расстояния к зональным тарифам, среднее расстояние с подтверждающими данными должно быть предоставлено до официального объявления или вместе с ним. В эту статью еще не внесены соответствующие поправки, вытекающие из решений Дубайского конгресса, и предлагается, чтобы она вступила в силу 1 января 2027 года.</w:t>
      </w:r>
    </w:p>
  </w:footnote>
  <w:footnote w:id="6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Pr="0049416E">
        <w:rPr>
          <w:lang w:val="ru-RU"/>
        </w:rPr>
        <w:t xml:space="preserve"> </w:t>
      </w:r>
      <w:r w:rsidR="00D4109C" w:rsidRPr="0049416E">
        <w:rPr>
          <w:lang w:val="ru-RU"/>
        </w:rPr>
        <w:t>В соответствии со статьей 33-201.4.4 Регламента Конвенции, если НО решит применить методологию расчета среднего расстояния к зональным тарифам, среднее расстояние с подтверждающими данными должно быть предоставлено до официального объявления или вместе с ним. В эту статью еще не внесены соответствующие поправки, вытекающие из решений Дубайского конгресса, и предлагается, чтобы она вступила в силу 1 января 2027 года.</w:t>
      </w:r>
    </w:p>
  </w:footnote>
  <w:footnote w:id="7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Pr="0049416E">
        <w:rPr>
          <w:lang w:val="ru-RU"/>
        </w:rPr>
        <w:t xml:space="preserve"> </w:t>
      </w:r>
      <w:r w:rsidR="00E30193" w:rsidRPr="0049416E">
        <w:rPr>
          <w:lang w:val="ru-RU"/>
        </w:rPr>
        <w:t xml:space="preserve">В соответствии со статьей 33-201.4.4 Регламента Конвенции, если НО решит применить методологию расчета среднего расстояния к зональным тарифам, среднее расстояние с подтверждающими данными должно быть предоставлено до официального объявления или вместе с ним. В эту статью еще не внесены соответствующие поправки, вытекающие из решений Дубайского конгресса, и предлагается, чтобы она вступила в силу 1 января 2027 года. </w:t>
      </w:r>
    </w:p>
  </w:footnote>
  <w:footnote w:id="8">
    <w:p w:rsidR="00591145" w:rsidRPr="0049416E" w:rsidRDefault="00591145" w:rsidP="00591145">
      <w:pPr>
        <w:pStyle w:val="a6"/>
        <w:rPr>
          <w:lang w:val="ru-RU"/>
        </w:rPr>
      </w:pPr>
      <w:r w:rsidRPr="0049416E">
        <w:rPr>
          <w:rStyle w:val="a4"/>
          <w:lang w:val="ru-RU"/>
        </w:rPr>
        <w:footnoteRef/>
      </w:r>
      <w:r w:rsidR="005C3A3C" w:rsidRPr="0049416E">
        <w:rPr>
          <w:lang w:val="ru-RU"/>
        </w:rPr>
        <w:t xml:space="preserve"> В соответствии со статьей 33-201.4.4 Регламента Конвенции, если Министерство транспорта решит применить методологию расчета среднего расстояния к зональным тарифам, среднее расстояние с подтверждающими данными должно быть предоставлено до официального объявления или вместе с ним. В эту статью еще не внесены соответствующие поправки, вытекающие из решений Дубайского конгресса, и предлагается, чтобы она вступила в силу 1 января 2027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18" w:rsidRDefault="001C2A18">
    <w:pPr>
      <w:jc w:val="center"/>
    </w:pPr>
  </w:p>
  <w:p w:rsidR="001C2A18" w:rsidRDefault="001C2A18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683995"/>
      <w:docPartObj>
        <w:docPartGallery w:val="Page Numbers (Top of Page)"/>
        <w:docPartUnique/>
      </w:docPartObj>
    </w:sdtPr>
    <w:sdtEndPr/>
    <w:sdtContent>
      <w:p w:rsidR="00C06DE6" w:rsidRDefault="00C06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995" w:rsidRPr="003B5995">
          <w:rPr>
            <w:noProof/>
            <w:lang w:val="ru-RU"/>
          </w:rPr>
          <w:t>6</w:t>
        </w:r>
        <w:r>
          <w:fldChar w:fldCharType="end"/>
        </w:r>
      </w:p>
    </w:sdtContent>
  </w:sdt>
  <w:p w:rsidR="001C2A18" w:rsidRDefault="001C2A1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a"/>
      <w:tblW w:w="9854" w:type="dxa"/>
      <w:tblInd w:w="0" w:type="dxa"/>
      <w:tblLayout w:type="fixed"/>
      <w:tblLook w:val="0000" w:firstRow="0" w:lastRow="0" w:firstColumn="0" w:lastColumn="0" w:noHBand="0" w:noVBand="0"/>
    </w:tblPr>
    <w:tblGrid>
      <w:gridCol w:w="4253"/>
      <w:gridCol w:w="5601"/>
    </w:tblGrid>
    <w:tr w:rsidR="001C2A18">
      <w:tc>
        <w:tcPr>
          <w:tcW w:w="4253" w:type="dxa"/>
        </w:tcPr>
        <w:p w:rsidR="001C2A18" w:rsidRDefault="00C06D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720" w:line="240" w:lineRule="auto"/>
            <w:rPr>
              <w:color w:val="000000"/>
            </w:rPr>
          </w:pPr>
          <w:r>
            <w:rPr>
              <w:noProof/>
              <w:color w:val="000000"/>
              <w:lang w:val="ru-RU" w:eastAsia="ru-RU"/>
            </w:rPr>
            <w:drawing>
              <wp:inline distT="0" distB="0" distL="0" distR="0" wp14:anchorId="2F2CD981" wp14:editId="66A0FEE8">
                <wp:extent cx="1828800" cy="445273"/>
                <wp:effectExtent l="0" t="0" r="0" b="0"/>
                <wp:docPr id="2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4452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1" w:type="dxa"/>
        </w:tcPr>
        <w:p w:rsidR="001C2A18" w:rsidRPr="00FE119D" w:rsidRDefault="00C06D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color w:val="000000"/>
              <w:lang w:val="ru-RU"/>
            </w:rPr>
          </w:pPr>
          <w:r>
            <w:rPr>
              <w:color w:val="000000"/>
            </w:rPr>
            <w:t>Приложение 1</w:t>
          </w:r>
          <w:r w:rsidR="00FE119D">
            <w:rPr>
              <w:color w:val="000000"/>
            </w:rPr>
            <w:t xml:space="preserve"> к письму 0426(DPRM.PPRE.RDI)10</w:t>
          </w:r>
          <w:r>
            <w:rPr>
              <w:color w:val="000000"/>
            </w:rPr>
            <w:t>2</w:t>
          </w:r>
          <w:r w:rsidR="00591145">
            <w:rPr>
              <w:color w:val="000000"/>
              <w:lang w:val="ru-RU"/>
            </w:rPr>
            <w:t>6</w:t>
          </w:r>
        </w:p>
        <w:p w:rsidR="001C2A18" w:rsidRDefault="00FE11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t>от 26 мар</w:t>
          </w:r>
          <w:r>
            <w:rPr>
              <w:color w:val="000000"/>
              <w:lang w:val="ru-RU"/>
            </w:rPr>
            <w:t>та 2026</w:t>
          </w:r>
          <w:r w:rsidR="00C06DE6">
            <w:rPr>
              <w:color w:val="000000"/>
            </w:rPr>
            <w:t xml:space="preserve"> г.</w:t>
          </w:r>
        </w:p>
      </w:tc>
    </w:tr>
  </w:tbl>
  <w:p w:rsidR="001C2A18" w:rsidRDefault="001C2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FAA"/>
    <w:multiLevelType w:val="multilevel"/>
    <w:tmpl w:val="018C8ED8"/>
    <w:lvl w:ilvl="0">
      <w:start w:val="1"/>
      <w:numFmt w:val="decimal"/>
      <w:pStyle w:val="Premierretrai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1F55F1"/>
    <w:multiLevelType w:val="singleLevel"/>
    <w:tmpl w:val="9C4A55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310D0657"/>
    <w:multiLevelType w:val="hybridMultilevel"/>
    <w:tmpl w:val="D16E0636"/>
    <w:lvl w:ilvl="0" w:tplc="B8CE624E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18"/>
    <w:rsid w:val="00007232"/>
    <w:rsid w:val="0001739A"/>
    <w:rsid w:val="00030E1D"/>
    <w:rsid w:val="00055EDD"/>
    <w:rsid w:val="000A3C8C"/>
    <w:rsid w:val="00166C1E"/>
    <w:rsid w:val="001C2A18"/>
    <w:rsid w:val="002053B8"/>
    <w:rsid w:val="00227E47"/>
    <w:rsid w:val="00232389"/>
    <w:rsid w:val="0025158B"/>
    <w:rsid w:val="002523B0"/>
    <w:rsid w:val="0026368B"/>
    <w:rsid w:val="002B56BD"/>
    <w:rsid w:val="002D287E"/>
    <w:rsid w:val="002E2BE3"/>
    <w:rsid w:val="00387E2E"/>
    <w:rsid w:val="003B5995"/>
    <w:rsid w:val="003E04E9"/>
    <w:rsid w:val="003E2B7E"/>
    <w:rsid w:val="00452AF5"/>
    <w:rsid w:val="00480D1C"/>
    <w:rsid w:val="0049416E"/>
    <w:rsid w:val="00497A07"/>
    <w:rsid w:val="004B24CD"/>
    <w:rsid w:val="00591145"/>
    <w:rsid w:val="005B0314"/>
    <w:rsid w:val="005C3A3C"/>
    <w:rsid w:val="005F74AF"/>
    <w:rsid w:val="006404AC"/>
    <w:rsid w:val="00691DF0"/>
    <w:rsid w:val="006A3402"/>
    <w:rsid w:val="00701CE6"/>
    <w:rsid w:val="007174D4"/>
    <w:rsid w:val="00780789"/>
    <w:rsid w:val="007A1E76"/>
    <w:rsid w:val="007B15F9"/>
    <w:rsid w:val="007B5968"/>
    <w:rsid w:val="00847422"/>
    <w:rsid w:val="008B0B5D"/>
    <w:rsid w:val="008E4026"/>
    <w:rsid w:val="008F42FA"/>
    <w:rsid w:val="00920997"/>
    <w:rsid w:val="009912DC"/>
    <w:rsid w:val="00A5439F"/>
    <w:rsid w:val="00A576EC"/>
    <w:rsid w:val="00A60BAB"/>
    <w:rsid w:val="00A8100A"/>
    <w:rsid w:val="00AA31EA"/>
    <w:rsid w:val="00B81375"/>
    <w:rsid w:val="00C06DE6"/>
    <w:rsid w:val="00C549E3"/>
    <w:rsid w:val="00C608F5"/>
    <w:rsid w:val="00CC6BF0"/>
    <w:rsid w:val="00CD193F"/>
    <w:rsid w:val="00CE2F65"/>
    <w:rsid w:val="00D26347"/>
    <w:rsid w:val="00D4109C"/>
    <w:rsid w:val="00D42AE5"/>
    <w:rsid w:val="00E071C8"/>
    <w:rsid w:val="00E30193"/>
    <w:rsid w:val="00E41FF7"/>
    <w:rsid w:val="00E75806"/>
    <w:rsid w:val="00E9050B"/>
    <w:rsid w:val="00ED1028"/>
    <w:rsid w:val="00F30332"/>
    <w:rsid w:val="00F63438"/>
    <w:rsid w:val="00FC4B09"/>
    <w:rsid w:val="00FE119D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5537"/>
  <w15:docId w15:val="{DEFB85C1-4255-459D-9D09-9A4AE4A0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12"/>
    <w:pPr>
      <w:spacing w:line="240" w:lineRule="exact"/>
    </w:pPr>
    <w:rPr>
      <w:lang w:val="fr-FR" w:eastAsia="fr-CH"/>
    </w:rPr>
  </w:style>
  <w:style w:type="paragraph" w:styleId="1">
    <w:name w:val="heading 1"/>
    <w:basedOn w:val="a"/>
    <w:next w:val="Textedebase"/>
    <w:qFormat/>
    <w:rsid w:val="00A3163D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A3163D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A3163D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uiPriority w:val="99"/>
    <w:semiHidden/>
    <w:rsid w:val="00A3163D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A3163D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link w:val="PremierretraitCar"/>
    <w:rsid w:val="009D3509"/>
    <w:pPr>
      <w:numPr>
        <w:numId w:val="1"/>
      </w:numPr>
      <w:spacing w:before="120"/>
    </w:pPr>
  </w:style>
  <w:style w:type="paragraph" w:customStyle="1" w:styleId="Deuximeretrait">
    <w:name w:val="Deuxième retrait"/>
    <w:basedOn w:val="Textedebase"/>
    <w:rsid w:val="00A3163D"/>
    <w:pPr>
      <w:tabs>
        <w:tab w:val="num" w:pos="720"/>
      </w:tabs>
      <w:spacing w:before="120"/>
      <w:ind w:left="720" w:hanging="720"/>
    </w:pPr>
  </w:style>
  <w:style w:type="paragraph" w:customStyle="1" w:styleId="Troisimeretrait">
    <w:name w:val="Troisième retrait"/>
    <w:basedOn w:val="Textedebase"/>
    <w:rsid w:val="009D3509"/>
    <w:pPr>
      <w:tabs>
        <w:tab w:val="num" w:pos="720"/>
      </w:tabs>
      <w:spacing w:before="120"/>
      <w:ind w:left="720" w:hanging="720"/>
    </w:pPr>
  </w:style>
  <w:style w:type="table" w:styleId="a5">
    <w:name w:val="Table Grid"/>
    <w:basedOn w:val="a1"/>
    <w:rsid w:val="00A23ACD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8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9">
    <w:name w:val="header"/>
    <w:basedOn w:val="a"/>
    <w:link w:val="aa"/>
    <w:uiPriority w:val="99"/>
    <w:rsid w:val="00A3163D"/>
    <w:pPr>
      <w:tabs>
        <w:tab w:val="center" w:pos="4536"/>
        <w:tab w:val="right" w:pos="9072"/>
      </w:tabs>
    </w:pPr>
  </w:style>
  <w:style w:type="paragraph" w:styleId="ab">
    <w:name w:val="endnote text"/>
    <w:basedOn w:val="a"/>
    <w:semiHidden/>
    <w:rsid w:val="00A3163D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c">
    <w:name w:val="endnote reference"/>
    <w:semiHidden/>
    <w:rsid w:val="00A3163D"/>
    <w:rPr>
      <w:sz w:val="20"/>
      <w:szCs w:val="20"/>
      <w:vertAlign w:val="superscript"/>
    </w:rPr>
  </w:style>
  <w:style w:type="paragraph" w:styleId="ad">
    <w:name w:val="Signature"/>
    <w:basedOn w:val="a"/>
    <w:rsid w:val="00AB32B2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e">
    <w:name w:val="Hyperlink"/>
    <w:rsid w:val="009F110E"/>
    <w:rPr>
      <w:rFonts w:ascii="Arial" w:hAnsi="Arial"/>
      <w:color w:val="auto"/>
      <w:u w:val="none"/>
    </w:rPr>
  </w:style>
  <w:style w:type="paragraph" w:styleId="af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paragraph" w:customStyle="1" w:styleId="Retrait05cm">
    <w:name w:val="Retrait 0.5 cm"/>
    <w:basedOn w:val="Premierretrait"/>
    <w:rsid w:val="000B739F"/>
    <w:pPr>
      <w:tabs>
        <w:tab w:val="left" w:pos="164"/>
      </w:tabs>
      <w:ind w:left="165" w:hanging="284"/>
      <w:jc w:val="left"/>
    </w:p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spacing w:val="3"/>
    </w:rPr>
  </w:style>
  <w:style w:type="paragraph" w:customStyle="1" w:styleId="1AdresseSignature">
    <w:name w:val="1 (Adresse + Signature)"/>
    <w:basedOn w:val="a"/>
    <w:rsid w:val="00FF1903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FF1903"/>
    <w:rPr>
      <w:rFonts w:ascii="Arial" w:hAnsi="Arial"/>
      <w:snapToGrid w:val="0"/>
      <w:lang w:val="fr-FR" w:eastAsia="fr-FR" w:bidi="ar-SA"/>
    </w:rPr>
  </w:style>
  <w:style w:type="paragraph" w:customStyle="1" w:styleId="5Premierretrait">
    <w:name w:val="5 (Premier retrait)"/>
    <w:basedOn w:val="a"/>
    <w:rsid w:val="00FF1903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paragraph" w:styleId="af0">
    <w:name w:val="Body Text"/>
    <w:basedOn w:val="a"/>
    <w:rsid w:val="00BD67E7"/>
    <w:pPr>
      <w:spacing w:line="240" w:lineRule="auto"/>
    </w:pPr>
    <w:rPr>
      <w:sz w:val="16"/>
      <w:szCs w:val="16"/>
      <w:lang w:val="fr-CH"/>
    </w:rPr>
  </w:style>
  <w:style w:type="character" w:customStyle="1" w:styleId="Appelnotedebasdep">
    <w:name w:val="Appel note de bas de p"/>
    <w:semiHidden/>
    <w:rsid w:val="00BD67E7"/>
    <w:rPr>
      <w:rFonts w:cs="Times New Roman"/>
      <w:sz w:val="20"/>
      <w:szCs w:val="20"/>
      <w:vertAlign w:val="superscript"/>
    </w:rPr>
  </w:style>
  <w:style w:type="character" w:customStyle="1" w:styleId="TextedebaseCar">
    <w:name w:val="Texte de base Car"/>
    <w:link w:val="Textedebase"/>
    <w:rsid w:val="00BD67E7"/>
    <w:rPr>
      <w:rFonts w:ascii="Arial" w:hAnsi="Arial"/>
      <w:lang w:val="fr-FR" w:eastAsia="fr-CH" w:bidi="ar-SA"/>
    </w:rPr>
  </w:style>
  <w:style w:type="character" w:customStyle="1" w:styleId="PremierretraitCar">
    <w:name w:val="Premier retrait Car"/>
    <w:basedOn w:val="TextedebaseCar"/>
    <w:link w:val="Premierretrait"/>
    <w:rsid w:val="00BD67E7"/>
    <w:rPr>
      <w:rFonts w:ascii="Arial" w:hAnsi="Arial"/>
      <w:lang w:val="fr-FR" w:eastAsia="fr-CH" w:bidi="ar-SA"/>
    </w:rPr>
  </w:style>
  <w:style w:type="paragraph" w:styleId="af1">
    <w:name w:val="Normal (Web)"/>
    <w:basedOn w:val="a"/>
    <w:rsid w:val="00202C29"/>
    <w:pPr>
      <w:spacing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6Premierretrait">
    <w:name w:val="6 Premier retrait"/>
    <w:basedOn w:val="a"/>
    <w:rsid w:val="00BC4941"/>
    <w:pPr>
      <w:spacing w:line="240" w:lineRule="atLeast"/>
      <w:ind w:left="567" w:hanging="567"/>
      <w:jc w:val="both"/>
    </w:pPr>
    <w:rPr>
      <w:snapToGrid w:val="0"/>
      <w:lang w:val="ru-RU" w:eastAsia="ru-RU"/>
    </w:rPr>
  </w:style>
  <w:style w:type="paragraph" w:customStyle="1" w:styleId="4Textedebase10points">
    <w:name w:val="4 Texte de base 10 points"/>
    <w:basedOn w:val="a"/>
    <w:rsid w:val="00BC4941"/>
    <w:pPr>
      <w:tabs>
        <w:tab w:val="left" w:pos="567"/>
      </w:tabs>
      <w:spacing w:line="240" w:lineRule="atLeast"/>
      <w:jc w:val="both"/>
    </w:pPr>
    <w:rPr>
      <w:rFonts w:ascii="Times New Roman" w:hAnsi="Times New Roman"/>
      <w:snapToGrid w:val="0"/>
      <w:lang w:val="ru-RU" w:eastAsia="ru-RU"/>
    </w:rPr>
  </w:style>
  <w:style w:type="paragraph" w:customStyle="1" w:styleId="textedebase0">
    <w:name w:val="textedebase"/>
    <w:basedOn w:val="a"/>
    <w:rsid w:val="00BF6BBB"/>
    <w:pPr>
      <w:spacing w:line="240" w:lineRule="atLeast"/>
      <w:jc w:val="both"/>
    </w:pPr>
    <w:rPr>
      <w:rFonts w:ascii="Bookman Old Style" w:hAnsi="Bookman Old Style"/>
      <w:lang w:eastAsia="fr-FR"/>
    </w:rPr>
  </w:style>
  <w:style w:type="paragraph" w:customStyle="1" w:styleId="1Premierretrait">
    <w:name w:val="1 Premier retrait"/>
    <w:basedOn w:val="a"/>
    <w:rsid w:val="0053028E"/>
    <w:pPr>
      <w:tabs>
        <w:tab w:val="num" w:pos="567"/>
      </w:tabs>
      <w:spacing w:before="120" w:line="240" w:lineRule="atLeast"/>
      <w:ind w:left="567" w:hanging="567"/>
      <w:jc w:val="both"/>
    </w:pPr>
  </w:style>
  <w:style w:type="paragraph" w:customStyle="1" w:styleId="0Textedebase">
    <w:name w:val="0 Texte de base"/>
    <w:basedOn w:val="a"/>
    <w:rsid w:val="00912C7C"/>
    <w:pPr>
      <w:spacing w:line="240" w:lineRule="atLeast"/>
      <w:jc w:val="both"/>
    </w:pPr>
    <w:rPr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C06DE6"/>
    <w:rPr>
      <w:lang w:val="fr-FR" w:eastAsia="fr-CH"/>
    </w:rPr>
  </w:style>
  <w:style w:type="character" w:customStyle="1" w:styleId="a7">
    <w:name w:val="Текст сноски Знак"/>
    <w:basedOn w:val="a0"/>
    <w:link w:val="a6"/>
    <w:uiPriority w:val="99"/>
    <w:semiHidden/>
    <w:rsid w:val="00591145"/>
    <w:rPr>
      <w:sz w:val="18"/>
      <w:szCs w:val="18"/>
      <w:lang w:val="fr-FR" w:eastAsia="fr-CH"/>
    </w:rPr>
  </w:style>
  <w:style w:type="character" w:styleId="afb">
    <w:name w:val="Strong"/>
    <w:basedOn w:val="a0"/>
    <w:uiPriority w:val="22"/>
    <w:qFormat/>
    <w:rsid w:val="00591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urveymonkey.com/r/DFS8SK8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34onjIP84dKPFfN4/tvGU0o+PA==">CgMxLjAyCGguZ2pkZ3hzMgloLjMwajB6bGw4AHIhMXR4ZDdSLVQ4cnFNZ25KdmstSmstNmR5Y01BWEF5OU5D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D2F422-BA69-47A5-89EA-FA45D8E0F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2623F-73F2-48A0-81B3-DB7A42B12E21}"/>
</file>

<file path=customXml/itemProps4.xml><?xml version="1.0" encoding="utf-8"?>
<ds:datastoreItem xmlns:ds="http://schemas.openxmlformats.org/officeDocument/2006/customXml" ds:itemID="{A5DF207B-1C73-4A79-83FC-FF0829E9174E}"/>
</file>

<file path=customXml/itemProps5.xml><?xml version="1.0" encoding="utf-8"?>
<ds:datastoreItem xmlns:ds="http://schemas.openxmlformats.org/officeDocument/2006/customXml" ds:itemID="{9A0DC824-4806-4E64-AB01-59CC86052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Бовина Валентина Ивановна</dc:creator>
  <cp:lastModifiedBy>Захарова Алена Дмитриевна</cp:lastModifiedBy>
  <cp:revision>68</cp:revision>
  <dcterms:created xsi:type="dcterms:W3CDTF">2024-04-11T11:53:00Z</dcterms:created>
  <dcterms:modified xsi:type="dcterms:W3CDTF">2026-03-27T12:19:00Z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