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B1" w:rsidRDefault="00FB55B1" w:rsidP="00FB55B1">
      <w:pPr>
        <w:spacing w:line="220" w:lineRule="atLeast"/>
        <w:ind w:right="-14"/>
        <w:jc w:val="both"/>
        <w:rPr>
          <w:b/>
          <w:bCs/>
        </w:rPr>
      </w:pPr>
      <w:r>
        <w:rPr>
          <w:b/>
          <w:bCs/>
        </w:rPr>
        <w:t>Certification de l</w:t>
      </w:r>
      <w:r w:rsidR="00414024">
        <w:rPr>
          <w:b/>
          <w:bCs/>
        </w:rPr>
        <w:t>’</w:t>
      </w:r>
      <w:r>
        <w:rPr>
          <w:b/>
          <w:bCs/>
        </w:rPr>
        <w:t>efficacité opérationnelle et de la gestion de la qualité de l</w:t>
      </w:r>
      <w:r w:rsidR="00414024">
        <w:rPr>
          <w:b/>
          <w:bCs/>
        </w:rPr>
        <w:t>’</w:t>
      </w:r>
      <w:r>
        <w:rPr>
          <w:b/>
          <w:bCs/>
        </w:rPr>
        <w:t>UPU</w:t>
      </w:r>
    </w:p>
    <w:p w:rsidR="00FB55B1" w:rsidRPr="00375B20" w:rsidRDefault="00FB55B1" w:rsidP="00FB55B1">
      <w:pPr>
        <w:spacing w:line="220" w:lineRule="atLeast"/>
        <w:ind w:right="-14"/>
        <w:jc w:val="both"/>
      </w:pPr>
    </w:p>
    <w:p w:rsidR="00FB55B1" w:rsidRPr="00037905" w:rsidRDefault="00FB55B1" w:rsidP="00FB55B1">
      <w:pPr>
        <w:spacing w:line="220" w:lineRule="atLeast"/>
        <w:ind w:right="-14"/>
        <w:jc w:val="both"/>
        <w:rPr>
          <w:b/>
          <w:bCs/>
        </w:rPr>
      </w:pPr>
      <w:r w:rsidRPr="00037905">
        <w:rPr>
          <w:rFonts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D484" wp14:editId="5AEFB4C7">
                <wp:simplePos x="0" y="0"/>
                <wp:positionH relativeFrom="margin">
                  <wp:posOffset>-31115</wp:posOffset>
                </wp:positionH>
                <wp:positionV relativeFrom="line">
                  <wp:posOffset>-1670050</wp:posOffset>
                </wp:positionV>
                <wp:extent cx="0" cy="143510"/>
                <wp:effectExtent l="0" t="0" r="19050" b="279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A368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5pt;margin-top:-131.5pt;width:0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bYHgIAADw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" strokeweight="1.5pt">
                <w10:wrap anchorx="margin" anchory="line"/>
              </v:shape>
            </w:pict>
          </mc:Fallback>
        </mc:AlternateContent>
      </w:r>
      <w:r>
        <w:rPr>
          <w:b/>
          <w:bCs/>
        </w:rPr>
        <w:t>Feuille de résultats – Performance de la qualité de service atteinte par l</w:t>
      </w:r>
      <w:r w:rsidR="00414024">
        <w:rPr>
          <w:b/>
          <w:bCs/>
        </w:rPr>
        <w:t>’</w:t>
      </w:r>
      <w:r>
        <w:rPr>
          <w:b/>
          <w:bCs/>
        </w:rPr>
        <w:t>opérateur désigné (édition de 2023)</w:t>
      </w:r>
    </w:p>
    <w:p w:rsidR="00FB55B1" w:rsidRPr="00037905" w:rsidRDefault="00FB55B1" w:rsidP="00FB55B1">
      <w:pPr>
        <w:spacing w:line="220" w:lineRule="atLeast"/>
        <w:ind w:right="-14"/>
        <w:jc w:val="both"/>
      </w:pPr>
    </w:p>
    <w:p w:rsidR="00FB55B1" w:rsidRDefault="00FB55B1" w:rsidP="005337C5">
      <w:pPr>
        <w:tabs>
          <w:tab w:val="right" w:pos="13041"/>
        </w:tabs>
        <w:spacing w:line="220" w:lineRule="atLeast"/>
        <w:ind w:right="-14"/>
        <w:jc w:val="both"/>
      </w:pPr>
      <w:r>
        <w:t>Candidature de l</w:t>
      </w:r>
      <w:r w:rsidR="00414024">
        <w:t>’</w:t>
      </w:r>
      <w:r>
        <w:t>opérateur désigné d</w:t>
      </w:r>
      <w:r>
        <w:rPr>
          <w:u w:val="single"/>
        </w:rPr>
        <w:tab/>
      </w:r>
      <w:r w:rsidR="005337C5">
        <w:br/>
      </w:r>
      <w:bookmarkStart w:id="0" w:name="_GoBack"/>
      <w:bookmarkEnd w:id="0"/>
    </w:p>
    <w:p w:rsidR="00FB55B1" w:rsidRDefault="00FB55B1" w:rsidP="00FB55B1">
      <w:pPr>
        <w:spacing w:line="220" w:lineRule="atLeast"/>
        <w:ind w:right="-14"/>
        <w:jc w:val="both"/>
      </w:pPr>
      <w:r w:rsidRPr="00375B20">
        <w:rPr>
          <w:spacing w:val="-2"/>
        </w:rPr>
        <w:t>Pour s</w:t>
      </w:r>
      <w:r w:rsidR="00414024">
        <w:rPr>
          <w:spacing w:val="-2"/>
        </w:rPr>
        <w:t>’</w:t>
      </w:r>
      <w:r w:rsidRPr="00375B20">
        <w:rPr>
          <w:spacing w:val="-2"/>
        </w:rPr>
        <w:t>assurer qu</w:t>
      </w:r>
      <w:r w:rsidR="00414024">
        <w:rPr>
          <w:spacing w:val="-2"/>
        </w:rPr>
        <w:t>’</w:t>
      </w:r>
      <w:r w:rsidRPr="00375B20">
        <w:rPr>
          <w:spacing w:val="-2"/>
        </w:rPr>
        <w:t>un opérateur désigné est un candidat viable pour la certification, le Bureau international rassemblera et examinera les résultats annuels</w:t>
      </w:r>
      <w:r>
        <w:t xml:space="preserve"> en matière de performances de l</w:t>
      </w:r>
      <w:r w:rsidR="00414024">
        <w:t>’</w:t>
      </w:r>
      <w:r>
        <w:t>opérateur désigné. Ce document résume les données sur les performances de l</w:t>
      </w:r>
      <w:r w:rsidR="00414024">
        <w:t>’</w:t>
      </w:r>
      <w:r>
        <w:t>opérateur désigné en matière de qualité de service, à partager avec l</w:t>
      </w:r>
      <w:r w:rsidR="00414024">
        <w:t>’</w:t>
      </w:r>
      <w:r>
        <w:t>opérateur désigné concerné et avec le consultant réalisant l</w:t>
      </w:r>
      <w:r w:rsidR="00414024">
        <w:t>’</w:t>
      </w:r>
      <w:r>
        <w:t>audit sur site.</w:t>
      </w:r>
    </w:p>
    <w:p w:rsidR="00FB55B1" w:rsidRDefault="00FB55B1" w:rsidP="00FB55B1">
      <w:pPr>
        <w:spacing w:line="220" w:lineRule="atLeast"/>
        <w:ind w:right="-14"/>
        <w:jc w:val="both"/>
      </w:pPr>
    </w:p>
    <w:p w:rsidR="00FB55B1" w:rsidRDefault="00FB55B1" w:rsidP="00FB55B1">
      <w:pPr>
        <w:spacing w:line="220" w:lineRule="atLeast"/>
        <w:ind w:right="-14"/>
        <w:jc w:val="both"/>
      </w:pPr>
      <w:r>
        <w:t>Le but est d</w:t>
      </w:r>
      <w:r w:rsidR="00414024">
        <w:t>’</w:t>
      </w:r>
      <w:r>
        <w:t>évaluer les résultats en matière de qualité de service et de vérifier si le niveau minimal est atteint ou dépassé. Les normes et les objectifs fixés par les organes de l</w:t>
      </w:r>
      <w:r w:rsidR="00414024">
        <w:t>’</w:t>
      </w:r>
      <w:r>
        <w:t xml:space="preserve">Union servent de point de comparaison. </w:t>
      </w:r>
    </w:p>
    <w:p w:rsidR="00FB55B1" w:rsidRDefault="00FB55B1" w:rsidP="00FB55B1">
      <w:pPr>
        <w:spacing w:line="220" w:lineRule="atLeast"/>
        <w:ind w:right="-14"/>
        <w:jc w:val="both"/>
      </w:pPr>
    </w:p>
    <w:p w:rsidR="00FB55B1" w:rsidRDefault="00FB55B1" w:rsidP="00FB55B1">
      <w:pPr>
        <w:spacing w:line="220" w:lineRule="atLeast"/>
        <w:ind w:right="-14"/>
        <w:jc w:val="both"/>
      </w:pPr>
      <w:r>
        <w:t>Cette feuille de résultats, les réponses au questionnaire et les résultats de l</w:t>
      </w:r>
      <w:r w:rsidR="00414024">
        <w:t>’</w:t>
      </w:r>
      <w:r>
        <w:t>audit sur site seront utilisés dans le cadre de l</w:t>
      </w:r>
      <w:r w:rsidR="00414024">
        <w:t>’</w:t>
      </w:r>
      <w:r>
        <w:t>évaluation finale aux fins de la certification.</w:t>
      </w:r>
    </w:p>
    <w:p w:rsidR="00FB55B1" w:rsidRPr="00037905" w:rsidRDefault="00FB55B1" w:rsidP="00FB55B1">
      <w:pPr>
        <w:spacing w:line="220" w:lineRule="atLeast"/>
        <w:ind w:right="-14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90"/>
        <w:gridCol w:w="529"/>
        <w:gridCol w:w="584"/>
        <w:gridCol w:w="772"/>
        <w:gridCol w:w="1517"/>
      </w:tblGrid>
      <w:tr w:rsidR="00FB55B1" w:rsidRPr="00037905" w:rsidTr="00324D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60" w:after="60"/>
              <w:ind w:left="567" w:hanging="567"/>
              <w:rPr>
                <w:rFonts w:cs="Arial"/>
                <w:i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>
              <w:rPr>
                <w:b/>
              </w:rPr>
              <w:t>Résultats en matière de performance pour trois étapes (en nombre moyen de jours)</w:t>
            </w: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 w:rsidRPr="00037905">
              <w:rPr>
                <w:rFonts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7148E" wp14:editId="79DC5264">
                      <wp:simplePos x="0" y="0"/>
                      <wp:positionH relativeFrom="margin">
                        <wp:posOffset>-148240486</wp:posOffset>
                      </wp:positionH>
                      <wp:positionV relativeFrom="page">
                        <wp:posOffset>-246914109</wp:posOffset>
                      </wp:positionV>
                      <wp:extent cx="0" cy="143510"/>
                      <wp:effectExtent l="0" t="0" r="19050" b="279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D70E39" id="AutoShape 2" o:spid="_x0000_s1026" type="#_x0000_t32" style="position:absolute;margin-left:-11672.5pt;margin-top:-19442.05pt;width:0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p7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" strokeweight="1.5pt"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02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>
              <w:rPr>
                <w:i/>
              </w:rPr>
              <w:t>Oui</w:t>
            </w:r>
          </w:p>
        </w:tc>
        <w:tc>
          <w:tcPr>
            <w:tcW w:w="22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>
              <w:rPr>
                <w:i/>
              </w:rPr>
              <w:t>Non</w:t>
            </w:r>
          </w:p>
        </w:tc>
        <w:tc>
          <w:tcPr>
            <w:tcW w:w="295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>
              <w:rPr>
                <w:i/>
              </w:rPr>
              <w:t>Points</w:t>
            </w:r>
          </w:p>
        </w:tc>
        <w:tc>
          <w:tcPr>
            <w:tcW w:w="579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>
              <w:rPr>
                <w:i/>
              </w:rPr>
              <w:t>Commentaires</w:t>
            </w: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spacing w:before="60" w:after="60"/>
              <w:ind w:left="567" w:hanging="567"/>
              <w:jc w:val="left"/>
              <w:rPr>
                <w:rFonts w:cs="Arial"/>
              </w:rPr>
            </w:pPr>
            <w:r>
              <w:t>1.1</w:t>
            </w:r>
            <w:r>
              <w:tab/>
              <w:t>Les résultats pour l</w:t>
            </w:r>
            <w:r w:rsidR="00414024">
              <w:t>’</w:t>
            </w:r>
            <w:r>
              <w:t>étape 1 – Nombre moyen de jours entre le dépôt/la collecte d</w:t>
            </w:r>
            <w:r w:rsidR="00414024">
              <w:t>’</w:t>
            </w:r>
            <w:r>
              <w:t xml:space="preserve">un envoi </w:t>
            </w:r>
            <w:r>
              <w:br/>
              <w:t>et le départ du bureau d</w:t>
            </w:r>
            <w:r w:rsidR="00414024">
              <w:t>’</w:t>
            </w:r>
            <w:r>
              <w:t>échange expéditeur – respectent-ils les objectifs pertinents (points non cumulatifs)?</w:t>
            </w:r>
          </w:p>
          <w:p w:rsidR="00FB55B1" w:rsidRPr="00037905" w:rsidRDefault="00FB55B1" w:rsidP="00324D53">
            <w:pPr>
              <w:pStyle w:val="Textedebase"/>
              <w:spacing w:before="60" w:after="60"/>
              <w:ind w:left="567"/>
              <w:jc w:val="left"/>
              <w:rPr>
                <w:rFonts w:cs="Arial"/>
              </w:rPr>
            </w:pPr>
            <w:r>
              <w:t xml:space="preserve">Pour le courrier ordinaire partant (GMS ou autre): </w:t>
            </w:r>
            <w:r>
              <w:rPr>
                <w:rFonts w:cs="Arial"/>
                <w:cs/>
              </w:rPr>
              <w:t>‎</w:t>
            </w:r>
          </w:p>
        </w:tc>
        <w:tc>
          <w:tcPr>
            <w:tcW w:w="202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01" w:type="pct"/>
            <w:tcBorders>
              <w:top w:val="nil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spacing w:before="60" w:after="6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>Quatre ou cinq jours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597298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055589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spacing w:before="60" w:after="6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>Trois jours ou moins</w:t>
            </w:r>
          </w:p>
        </w:tc>
        <w:tc>
          <w:tcPr>
            <w:tcW w:w="202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972976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33160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spacing w:before="60" w:after="60"/>
              <w:ind w:left="567"/>
              <w:jc w:val="left"/>
              <w:rPr>
                <w:rFonts w:cs="Arial"/>
              </w:rPr>
            </w:pPr>
            <w:r>
              <w:t>Pour les colis partants (EMA–EMC) (points non cumulatifs):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spacing w:before="60" w:after="6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Entre cinq et sept jours 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844571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438419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spacing w:before="60" w:after="6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Quatre jours ou moins </w:t>
            </w:r>
          </w:p>
        </w:tc>
        <w:tc>
          <w:tcPr>
            <w:tcW w:w="202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295173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0530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spacing w:before="60" w:after="60"/>
              <w:ind w:left="567" w:hanging="567"/>
              <w:jc w:val="left"/>
              <w:rPr>
                <w:rFonts w:cs="Arial"/>
              </w:rPr>
            </w:pPr>
            <w:r>
              <w:t>1.2</w:t>
            </w:r>
            <w:r>
              <w:tab/>
              <w:t>Les résultats pour l</w:t>
            </w:r>
            <w:r w:rsidR="00414024">
              <w:t>’</w:t>
            </w:r>
            <w:r>
              <w:t>étape 2 – Nombre moyen de jours entre le départ du bureau d</w:t>
            </w:r>
            <w:r w:rsidR="00414024">
              <w:t>’</w:t>
            </w:r>
            <w:r>
              <w:t>échange expéditeur et l</w:t>
            </w:r>
            <w:r w:rsidR="00414024">
              <w:t>’</w:t>
            </w:r>
            <w:r>
              <w:t>arrivée au bureau d</w:t>
            </w:r>
            <w:r w:rsidR="00414024">
              <w:t>’</w:t>
            </w:r>
            <w:r>
              <w:t>échange de destination – respectent-ils les objectifs pertinents (points non cumulatifs)?</w:t>
            </w:r>
          </w:p>
          <w:p w:rsidR="00FB55B1" w:rsidRPr="00037905" w:rsidRDefault="00FB55B1" w:rsidP="00324D53">
            <w:pPr>
              <w:pStyle w:val="Textedebase"/>
              <w:spacing w:before="60" w:after="60"/>
              <w:ind w:left="567"/>
              <w:jc w:val="left"/>
              <w:rPr>
                <w:rFonts w:cs="Arial"/>
              </w:rPr>
            </w:pPr>
            <w:r>
              <w:t xml:space="preserve">Pour le courrier ordinaire partant (GMS ou autre): </w:t>
            </w:r>
          </w:p>
        </w:tc>
        <w:tc>
          <w:tcPr>
            <w:tcW w:w="202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7E6DF6" w:rsidRDefault="00FB55B1" w:rsidP="00324D53">
            <w:pPr>
              <w:pStyle w:val="Textedebase"/>
              <w:spacing w:before="60" w:after="60"/>
              <w:ind w:left="567"/>
            </w:pPr>
            <w:r>
              <w:t>–</w:t>
            </w:r>
            <w:r>
              <w:tab/>
              <w:t xml:space="preserve">Quatre ou cinq jours 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426223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597703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 w:rsidRPr="007E6DF6">
              <w:rPr>
                <w:rFonts w:cs="Arial"/>
              </w:rPr>
              <w:t>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FB55B1" w:rsidRPr="00037905" w:rsidTr="0032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7E6DF6" w:rsidRDefault="00FB55B1" w:rsidP="00324D53">
            <w:pPr>
              <w:pStyle w:val="Textedebase"/>
              <w:spacing w:before="60" w:after="60"/>
              <w:ind w:left="567"/>
            </w:pPr>
            <w:r>
              <w:t>–</w:t>
            </w:r>
            <w:r>
              <w:tab/>
              <w:t xml:space="preserve">Trois jours ou moins 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785649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08293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  <w:r w:rsidRPr="007E6DF6">
              <w:rPr>
                <w:rFonts w:cs="Arial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60" w:after="60"/>
              <w:jc w:val="left"/>
              <w:rPr>
                <w:rFonts w:cs="Arial"/>
              </w:rPr>
            </w:pPr>
          </w:p>
        </w:tc>
      </w:tr>
    </w:tbl>
    <w:p w:rsidR="00FB55B1" w:rsidRPr="00375B20" w:rsidRDefault="00FB55B1" w:rsidP="00FB55B1">
      <w:pPr>
        <w:spacing w:line="240" w:lineRule="auto"/>
        <w:ind w:right="-14"/>
        <w:jc w:val="both"/>
        <w:rPr>
          <w:sz w:val="2"/>
          <w:szCs w:val="2"/>
        </w:rPr>
      </w:pPr>
    </w:p>
    <w:p w:rsidR="00FB55B1" w:rsidRPr="00375B20" w:rsidRDefault="00FB55B1" w:rsidP="00FB55B1">
      <w:pPr>
        <w:spacing w:line="240" w:lineRule="auto"/>
        <w:jc w:val="both"/>
        <w:rPr>
          <w:sz w:val="2"/>
          <w:szCs w:val="2"/>
        </w:rPr>
        <w:sectPr w:rsidR="00FB55B1" w:rsidRPr="00375B20" w:rsidSect="008F3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6840" w:h="11907" w:orient="landscape" w:code="9"/>
          <w:pgMar w:top="1418" w:right="2604" w:bottom="851" w:left="1134" w:header="0" w:footer="0" w:gutter="0"/>
          <w:cols w:space="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0"/>
        <w:gridCol w:w="578"/>
        <w:gridCol w:w="673"/>
        <w:gridCol w:w="789"/>
        <w:gridCol w:w="1569"/>
      </w:tblGrid>
      <w:tr w:rsidR="00FB55B1" w:rsidRPr="00037905" w:rsidTr="00324D53">
        <w:trPr>
          <w:tblHeader/>
        </w:trPr>
        <w:tc>
          <w:tcPr>
            <w:tcW w:w="3751" w:type="pct"/>
            <w:tcBorders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r>
              <w:rPr>
                <w:i/>
              </w:rPr>
              <w:t>Oui</w:t>
            </w:r>
          </w:p>
        </w:tc>
        <w:tc>
          <w:tcPr>
            <w:tcW w:w="23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r>
              <w:rPr>
                <w:i/>
              </w:rPr>
              <w:t>Non</w:t>
            </w:r>
          </w:p>
        </w:tc>
        <w:tc>
          <w:tcPr>
            <w:tcW w:w="27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rPr>
                <w:i/>
              </w:rPr>
              <w:t>Points</w:t>
            </w:r>
          </w:p>
        </w:tc>
        <w:tc>
          <w:tcPr>
            <w:tcW w:w="54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rPr>
                <w:i/>
              </w:rPr>
              <w:t>Commentaires</w:t>
            </w: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/>
              <w:jc w:val="left"/>
              <w:rPr>
                <w:rFonts w:cs="Arial"/>
              </w:rPr>
            </w:pPr>
            <w:r>
              <w:t>Pour les colis partants (EMC–EMD) (points non cumulatifs):</w:t>
            </w:r>
          </w:p>
        </w:tc>
        <w:tc>
          <w:tcPr>
            <w:tcW w:w="200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Entre six et dix jours 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527662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36165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Cinq jours ou moins 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493447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17696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t>1.3</w:t>
            </w:r>
            <w:r>
              <w:tab/>
              <w:t>Les résultats pour l</w:t>
            </w:r>
            <w:r w:rsidR="00414024">
              <w:t>’</w:t>
            </w:r>
            <w:r>
              <w:t>étape 3 – Nombre moyen de jours entre l</w:t>
            </w:r>
            <w:r w:rsidR="00414024">
              <w:t>’</w:t>
            </w:r>
            <w:r>
              <w:t>arrivée au bureau d</w:t>
            </w:r>
            <w:r w:rsidR="00414024">
              <w:t>’</w:t>
            </w:r>
            <w:r>
              <w:t xml:space="preserve">échange de destination </w:t>
            </w:r>
            <w:r>
              <w:br/>
              <w:t>et la tentative de distribution/vaine tentative de distribution (physique)/remise finale – répondent-ils aux objectifs pertinents (points non cumulatifs)?</w:t>
            </w:r>
          </w:p>
          <w:p w:rsidR="00FB55B1" w:rsidRPr="00037905" w:rsidRDefault="00FB55B1" w:rsidP="00324D53">
            <w:pPr>
              <w:pStyle w:val="Textedebase"/>
              <w:spacing w:before="50" w:after="50"/>
              <w:ind w:left="567"/>
              <w:jc w:val="left"/>
              <w:rPr>
                <w:rFonts w:cs="Arial"/>
              </w:rPr>
            </w:pPr>
            <w:r>
              <w:t xml:space="preserve">Pour le courrier ordinaire arrivant (GMS ou autre): </w:t>
            </w:r>
            <w:r>
              <w:rPr>
                <w:rFonts w:cs="Arial"/>
                <w:cs/>
              </w:rPr>
              <w:t>‎</w:t>
            </w:r>
          </w:p>
        </w:tc>
        <w:tc>
          <w:tcPr>
            <w:tcW w:w="200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tcBorders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Quatre ou cinq jours 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058718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009146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Trois jours ou moins </w:t>
            </w:r>
          </w:p>
        </w:tc>
        <w:tc>
          <w:tcPr>
            <w:tcW w:w="200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59869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93110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rPr>
          <w:trHeight w:val="20"/>
        </w:trPr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/>
              <w:jc w:val="left"/>
              <w:rPr>
                <w:rFonts w:cs="Arial"/>
              </w:rPr>
            </w:pPr>
            <w:r>
              <w:t>Pour les colis arrivants (EMD–EDH/EMH/EMI) (points non cumulatifs):</w:t>
            </w:r>
          </w:p>
        </w:tc>
        <w:tc>
          <w:tcPr>
            <w:tcW w:w="200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Six ou sept jours 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79958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658832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Cinq jours ou moins </w:t>
            </w:r>
          </w:p>
        </w:tc>
        <w:tc>
          <w:tcPr>
            <w:tcW w:w="200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106245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115574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tcBorders>
              <w:top w:val="nil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B1" w:rsidRPr="000653DF" w:rsidRDefault="00FB55B1" w:rsidP="00324D53">
            <w:pPr>
              <w:spacing w:before="50" w:after="50"/>
              <w:ind w:left="567" w:hanging="567"/>
              <w:rPr>
                <w:rFonts w:cs="Arial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 w:rsidRPr="001E4F08">
              <w:rPr>
                <w:b/>
              </w:rPr>
              <w:t>Performance</w:t>
            </w:r>
            <w:r>
              <w:rPr>
                <w:b/>
                <w:bCs/>
              </w:rPr>
              <w:t xml:space="preserve"> de scannage (en pour-cent)</w:t>
            </w: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2.1</w:t>
            </w:r>
            <w:r>
              <w:rPr>
                <w:rFonts w:asciiTheme="minorBidi" w:hAnsiTheme="minorBidi"/>
              </w:rPr>
              <w:tab/>
              <w:t xml:space="preserve">Le </w:t>
            </w:r>
            <w:r w:rsidRPr="001E4F08">
              <w:t>pourcentage</w:t>
            </w:r>
            <w:r>
              <w:rPr>
                <w:rFonts w:asciiTheme="minorBidi" w:hAnsiTheme="minorBidi"/>
              </w:rPr>
              <w:t xml:space="preserve"> de colis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un scannage EMC par rapport au nombre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envois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un scannage EMA (% EMC par rapport à EMA)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63229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530508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asciiTheme="minorBidi" w:hAnsiTheme="minorBidi"/>
              </w:rPr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22150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6487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t>2.2</w:t>
            </w:r>
            <w:r>
              <w:rPr>
                <w:rFonts w:asciiTheme="minorBidi" w:hAnsiTheme="minorBidi"/>
              </w:rPr>
              <w:tab/>
              <w:t>Le pourcentage de colis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un scannage EMA par rapport au nombre </w:t>
            </w:r>
            <w:r w:rsidRPr="001E4F08">
              <w:t>d</w:t>
            </w:r>
            <w:r w:rsidR="00414024">
              <w:t>’</w:t>
            </w:r>
            <w:r w:rsidRPr="001E4F08">
              <w:t>envois</w:t>
            </w:r>
            <w:r>
              <w:rPr>
                <w:rFonts w:asciiTheme="minorBidi" w:hAnsiTheme="minorBidi"/>
              </w:rPr>
              <w:t xml:space="preserve">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un scannage EMC (% EMA par rapport à EMC)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941411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599834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asciiTheme="minorBidi" w:hAnsiTheme="minorBidi"/>
              </w:rPr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4219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626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t>2.3</w:t>
            </w:r>
            <w:r>
              <w:rPr>
                <w:rFonts w:asciiTheme="minorBidi" w:hAnsiTheme="minorBidi"/>
              </w:rPr>
              <w:tab/>
              <w:t xml:space="preserve">Le pourcentage de colis retournés par les services des douanes/de sécurité du pays </w:t>
            </w:r>
            <w:r w:rsidRPr="001E4F08">
              <w:t>d</w:t>
            </w:r>
            <w:r w:rsidR="00414024">
              <w:t>’</w:t>
            </w:r>
            <w:r w:rsidRPr="001E4F08">
              <w:t>expédition</w:t>
            </w:r>
            <w:r>
              <w:rPr>
                <w:rFonts w:asciiTheme="minorBidi" w:hAnsiTheme="minorBidi"/>
              </w:rPr>
              <w:t xml:space="preserve"> (EXC) par rapport au nombre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envois précédemment présentés aux douanes du pays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expédition (EXA) et/ou retenus par </w:t>
            </w:r>
            <w:r w:rsidRPr="00CF618D">
              <w:rPr>
                <w:rFonts w:asciiTheme="minorBidi" w:hAnsiTheme="minorBidi"/>
                <w:spacing w:val="-1"/>
              </w:rPr>
              <w:t>les services douaniers du pays d</w:t>
            </w:r>
            <w:r w:rsidR="00414024">
              <w:rPr>
                <w:rFonts w:asciiTheme="minorBidi" w:hAnsiTheme="minorBidi"/>
                <w:spacing w:val="-1"/>
              </w:rPr>
              <w:t>’</w:t>
            </w:r>
            <w:r w:rsidRPr="00CF618D">
              <w:rPr>
                <w:rFonts w:asciiTheme="minorBidi" w:hAnsiTheme="minorBidi"/>
                <w:spacing w:val="-1"/>
              </w:rPr>
              <w:t>expédition (EXB) respecte-t-il l</w:t>
            </w:r>
            <w:r w:rsidR="00414024">
              <w:rPr>
                <w:rFonts w:asciiTheme="minorBidi" w:hAnsiTheme="minorBidi"/>
                <w:spacing w:val="-1"/>
              </w:rPr>
              <w:t>’</w:t>
            </w:r>
            <w:r w:rsidRPr="00CF618D">
              <w:rPr>
                <w:rFonts w:asciiTheme="minorBidi" w:hAnsiTheme="minorBidi"/>
                <w:spacing w:val="-1"/>
              </w:rPr>
              <w:t>objectif pertinent (% EXC par rapport à EXA/EXB)</w:t>
            </w:r>
            <w:r>
              <w:rPr>
                <w:rFonts w:asciiTheme="minorBidi" w:hAnsiTheme="minorBidi"/>
              </w:rPr>
              <w:t xml:space="preserve">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asciiTheme="minorBidi" w:hAnsiTheme="minorBidi"/>
              </w:rPr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502319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674427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2E7D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471897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876009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lastRenderedPageBreak/>
              <w:t>2.4</w:t>
            </w:r>
            <w:r>
              <w:rPr>
                <w:rFonts w:asciiTheme="minorBidi" w:hAnsiTheme="minorBidi"/>
              </w:rPr>
              <w:tab/>
              <w:t>Le pourcentage de colis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un scannage EMD par rapport au nombre </w:t>
            </w:r>
            <w:r w:rsidRPr="001E4F08">
              <w:t>d</w:t>
            </w:r>
            <w:r w:rsidR="00414024">
              <w:t>’</w:t>
            </w:r>
            <w:r w:rsidRPr="001E4F08">
              <w:t>envois</w:t>
            </w:r>
            <w:r>
              <w:rPr>
                <w:rFonts w:asciiTheme="minorBidi" w:hAnsiTheme="minorBidi"/>
              </w:rPr>
              <w:t xml:space="preserve"> pour lesquels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opérateur désigné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origine a transmis les données associées à un événement EMC (% EMD par rapport </w:t>
            </w:r>
            <w:r>
              <w:rPr>
                <w:rFonts w:asciiTheme="minorBidi" w:hAnsiTheme="minorBidi"/>
              </w:rPr>
              <w:br/>
              <w:t>à EMC)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871113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3173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2E7D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82317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29551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t>2.5</w:t>
            </w:r>
            <w:r>
              <w:rPr>
                <w:rFonts w:asciiTheme="minorBidi" w:hAnsiTheme="minorBidi"/>
              </w:rPr>
              <w:tab/>
              <w:t>Le pourcentage de colis retournés par les services des douanes/de sécurité du pays de destination (EDC) par rapport au nombre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envois précédemment présentés aux douanes du pays de destination (EDB) et/ou retenus par les services </w:t>
            </w:r>
            <w:r w:rsidRPr="001E4F08">
              <w:t>douaniers</w:t>
            </w:r>
            <w:r>
              <w:rPr>
                <w:rFonts w:asciiTheme="minorBidi" w:hAnsiTheme="minorBidi"/>
              </w:rPr>
              <w:t xml:space="preserve"> du pays de destination (EME)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(% EDC par rapport </w:t>
            </w:r>
            <w:r>
              <w:rPr>
                <w:rFonts w:asciiTheme="minorBidi" w:hAnsiTheme="minorBidi"/>
              </w:rPr>
              <w:br/>
              <w:t xml:space="preserve">à EDB/EME)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asciiTheme="minorBidi" w:hAnsiTheme="minorBidi"/>
              </w:rPr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221824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57723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2E7D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215079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75913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t>2.6</w:t>
            </w:r>
            <w:r>
              <w:rPr>
                <w:rFonts w:asciiTheme="minorBidi" w:hAnsiTheme="minorBidi"/>
              </w:rPr>
              <w:tab/>
              <w:t>Le pourcentage de colis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un scannage EMD par rapport au nombre </w:t>
            </w:r>
            <w:r w:rsidRPr="001E4F08">
              <w:t>d</w:t>
            </w:r>
            <w:r w:rsidR="00414024">
              <w:t>’</w:t>
            </w:r>
            <w:r w:rsidRPr="001E4F08">
              <w:t>envois</w:t>
            </w:r>
            <w:r>
              <w:rPr>
                <w:rFonts w:asciiTheme="minorBidi" w:hAnsiTheme="minorBidi"/>
              </w:rPr>
              <w:t xml:space="preserve">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un scannage EDH/EMH/EMI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(% EMD par rapport à EDH/EMH/EMI)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27245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332105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2E7D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57730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979572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t>2.7</w:t>
            </w:r>
            <w:r>
              <w:rPr>
                <w:rFonts w:asciiTheme="minorBidi" w:hAnsiTheme="minorBidi"/>
              </w:rPr>
              <w:tab/>
              <w:t>Le pourcentage de colis qui sont partis du bureau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échange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arrivée (EMF) par rapport au nombre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envois arrivés au bureau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échange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arrivée (EMD)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(% EMF par rapport à EMD)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asciiTheme="minorBidi" w:hAnsiTheme="minorBidi"/>
              </w:rPr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3778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112788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  <w:rPr>
                <w:rFonts w:cs="Arial"/>
              </w:rPr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226311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03058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567" w:hanging="567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Pr="001E4F08">
              <w:rPr>
                <w:b/>
              </w:rPr>
              <w:t>Performance</w:t>
            </w:r>
            <w:r>
              <w:rPr>
                <w:b/>
                <w:bCs/>
              </w:rPr>
              <w:t xml:space="preserve"> en matière de transport pour les colis</w:t>
            </w: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t>3.1</w:t>
            </w:r>
            <w:r>
              <w:rPr>
                <w:rFonts w:asciiTheme="minorBidi" w:hAnsiTheme="minorBidi"/>
              </w:rPr>
              <w:tab/>
              <w:t>Le temps écoulé entre les messages PREDES et CARDIT (poste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origine)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(nombre de jours écoulés entre les messages PREDES et CARDIT 47)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Deux ou trois jours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715138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93881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 xml:space="preserve">Un jour ou moins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75312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99267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pageBreakBefore/>
              <w:spacing w:before="50" w:after="50"/>
              <w:ind w:left="567" w:hanging="567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3.2</w:t>
            </w:r>
            <w:r>
              <w:rPr>
                <w:rFonts w:asciiTheme="minorBidi" w:hAnsiTheme="minorBidi"/>
              </w:rPr>
              <w:tab/>
              <w:t xml:space="preserve">Le </w:t>
            </w:r>
            <w:r w:rsidRPr="001E4F08">
              <w:t>temps</w:t>
            </w:r>
            <w:r>
              <w:rPr>
                <w:rFonts w:asciiTheme="minorBidi" w:hAnsiTheme="minorBidi"/>
              </w:rPr>
              <w:t xml:space="preserve"> écoulé entre les messages PREDES (poste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origine) et RESDES (poste de destination)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(nombre de jours écoulés entre les (premiers) messages PREDES et RESDES)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Entre quatre et six jours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12325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442669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Trois jours ou moins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373660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3356421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567" w:hanging="567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</w:r>
            <w:r w:rsidRPr="001E4F08">
              <w:rPr>
                <w:b/>
              </w:rPr>
              <w:t>Données</w:t>
            </w:r>
            <w:r>
              <w:rPr>
                <w:b/>
                <w:bCs/>
              </w:rPr>
              <w:t xml:space="preserve"> électroniques préalables et temps de traitement par les douanes pour les colis</w:t>
            </w: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rPr>
                <w:rFonts w:asciiTheme="minorBidi" w:hAnsiTheme="minorBidi"/>
              </w:rPr>
              <w:t>4.1</w:t>
            </w:r>
            <w:r>
              <w:rPr>
                <w:rFonts w:asciiTheme="minorBidi" w:hAnsiTheme="minorBidi"/>
              </w:rPr>
              <w:tab/>
              <w:t>Le nombre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envois accompagnés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un message ITMATT pour lesquels un message PREDES (poste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origine) </w:t>
            </w:r>
            <w:r>
              <w:rPr>
                <w:rFonts w:asciiTheme="minorBidi" w:hAnsiTheme="minorBidi"/>
              </w:rPr>
              <w:br/>
              <w:t>a été transmis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(ITMATT par rapport à PREDES (%))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184459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464982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247776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35326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4.2</w:t>
            </w:r>
            <w:r>
              <w:rPr>
                <w:rFonts w:asciiTheme="minorBidi" w:hAnsiTheme="minorBidi"/>
              </w:rPr>
              <w:tab/>
              <w:t>Le nombre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envois accompagnés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un message ITMATT et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objet </w:t>
            </w:r>
            <w:r w:rsidRPr="001E4F08">
              <w:t>d</w:t>
            </w:r>
            <w:r w:rsidR="00414024">
              <w:t>’</w:t>
            </w:r>
            <w:r w:rsidRPr="001E4F08">
              <w:t>un</w:t>
            </w:r>
            <w:r>
              <w:rPr>
                <w:rFonts w:asciiTheme="minorBidi" w:hAnsiTheme="minorBidi"/>
              </w:rPr>
              <w:t xml:space="preserve"> scannage EMC par rapport au nombre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envois qui ont fait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objet de scannages EMC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(ITMATT par rapport </w:t>
            </w:r>
            <w:r>
              <w:rPr>
                <w:rFonts w:asciiTheme="minorBidi" w:hAnsiTheme="minorBidi"/>
              </w:rPr>
              <w:br/>
              <w:t xml:space="preserve">à EMC (%))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974969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73553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 xml:space="preserve">90% ou plus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555141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813804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4.3</w:t>
            </w:r>
            <w:r>
              <w:rPr>
                <w:rFonts w:asciiTheme="minorBidi" w:hAnsiTheme="minorBidi"/>
              </w:rPr>
              <w:tab/>
              <w:t>Le temps écoulé entre un événement EDB (présentation de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envoi aux </w:t>
            </w:r>
            <w:r w:rsidRPr="001E4F08">
              <w:t>douanes</w:t>
            </w:r>
            <w:r>
              <w:rPr>
                <w:rFonts w:asciiTheme="minorBidi" w:hAnsiTheme="minorBidi"/>
              </w:rPr>
              <w:t>/services de sécurité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importation) et un événement EDC (envoi retourné par les douanes/services de sécurité d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>importation) respecte-t-il l</w:t>
            </w:r>
            <w:r w:rsidR="00414024">
              <w:rPr>
                <w:rFonts w:asciiTheme="minorBidi" w:hAnsiTheme="minorBidi"/>
              </w:rPr>
              <w:t>’</w:t>
            </w:r>
            <w:r>
              <w:rPr>
                <w:rFonts w:asciiTheme="minorBidi" w:hAnsiTheme="minorBidi"/>
              </w:rPr>
              <w:t xml:space="preserve">objectif pertinent (jours écoulés entre les événements EDB et EDC) </w:t>
            </w:r>
            <w:r>
              <w:t>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Entre trois et cinq jours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346451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638436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37905" w:rsidTr="00324D53">
        <w:tc>
          <w:tcPr>
            <w:tcW w:w="3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1E4F08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 xml:space="preserve">Deux jours ou moins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13768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13037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tabs>
                <w:tab w:val="left" w:pos="1276"/>
              </w:tabs>
              <w:spacing w:before="50" w:after="50"/>
              <w:jc w:val="left"/>
              <w:rPr>
                <w:rFonts w:cs="Arial"/>
              </w:rPr>
            </w:pPr>
          </w:p>
        </w:tc>
      </w:tr>
      <w:tr w:rsidR="00FB55B1" w:rsidRPr="000171F0" w:rsidTr="00324D53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B1" w:rsidRPr="000171F0" w:rsidRDefault="00FB55B1" w:rsidP="00324D53">
            <w:pPr>
              <w:spacing w:before="50" w:after="50"/>
              <w:ind w:left="567" w:hanging="567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</w:r>
            <w:r w:rsidRPr="001E4F08">
              <w:rPr>
                <w:b/>
              </w:rPr>
              <w:t>Performance</w:t>
            </w:r>
            <w:r>
              <w:rPr>
                <w:b/>
                <w:bCs/>
              </w:rPr>
              <w:t xml:space="preserve"> en matière de distribution pour les colis</w:t>
            </w: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t>5.1</w:t>
            </w:r>
            <w:r>
              <w:tab/>
              <w:t>Normes de distribution des colis postaux validées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376923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102063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</w:rPr>
            </w:pP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t>5.2</w:t>
            </w:r>
            <w:r>
              <w:tab/>
              <w:t>Le pourcentage de colis distribués dans les délais fixés par les normes validées pour l</w:t>
            </w:r>
            <w:r w:rsidR="00414024">
              <w:t>’</w:t>
            </w:r>
            <w:r>
              <w:t>étape 3 respecte-t-il l</w:t>
            </w:r>
            <w:r w:rsidR="00414024">
              <w:t>’</w:t>
            </w:r>
            <w:r>
              <w:t>objectif pertinent (points non cumulatifs)?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Del="00E916A6" w:rsidRDefault="00FB55B1" w:rsidP="00324D53">
            <w:pPr>
              <w:spacing w:before="50" w:after="50"/>
              <w:rPr>
                <w:rFonts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</w:rPr>
            </w:pP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De 80% à moins de 90%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288033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891750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FB55B1" w:rsidRPr="00037905" w:rsidDel="00E916A6" w:rsidRDefault="00FB55B1" w:rsidP="00324D53">
            <w:pPr>
              <w:spacing w:before="50" w:after="50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</w:rPr>
            </w:pP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1134" w:hanging="567"/>
            </w:pPr>
            <w:r>
              <w:t>–</w:t>
            </w:r>
            <w:r>
              <w:tab/>
              <w:t>90% ou plus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91832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911142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Del="00E916A6" w:rsidRDefault="00FB55B1" w:rsidP="00324D53">
            <w:pPr>
              <w:spacing w:before="50" w:after="50"/>
              <w:rPr>
                <w:rFonts w:cs="Arial"/>
              </w:rPr>
            </w:pPr>
            <w:r>
              <w:t>2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</w:rPr>
            </w:pPr>
          </w:p>
        </w:tc>
      </w:tr>
      <w:tr w:rsidR="00FB55B1" w:rsidRPr="000171F0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171F0" w:rsidRDefault="00FB55B1" w:rsidP="00324D53">
            <w:pPr>
              <w:spacing w:before="50" w:after="50"/>
              <w:ind w:left="567" w:hanging="567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Traitement des réclamations internationales pour les colis</w:t>
            </w: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t>6.1</w:t>
            </w:r>
            <w:r>
              <w:tab/>
              <w:t>Utilisation du système de réclamations par Internet (IBIS) ou de tout autre produit comparable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88733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439939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</w:rPr>
            </w:pP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</w:rPr>
            </w:pPr>
            <w:r>
              <w:lastRenderedPageBreak/>
              <w:t>6.2</w:t>
            </w:r>
            <w:r>
              <w:tab/>
              <w:t xml:space="preserve">Temps de traitement pour les réclamations concernant les colis (conformément aux dispositions pertinentes </w:t>
            </w:r>
            <w:r>
              <w:br/>
              <w:t>du Règlement de la Convention)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</w:rPr>
            </w:pP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ind w:left="567"/>
              <w:rPr>
                <w:rFonts w:cs="Arial"/>
              </w:rPr>
            </w:pPr>
            <w:r>
              <w:t>Au moins 90% des réclamations traitées dans les délais?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</w:rPr>
            </w:pP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  <w:szCs w:val="24"/>
              </w:rPr>
            </w:pPr>
            <w:r>
              <w:t>6.3</w:t>
            </w:r>
            <w:r>
              <w:tab/>
              <w:t>Le délai moyen maximal pour ouvrir une réclamation (seize heures ouvrables) est-il respecté?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49414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105216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  <w:szCs w:val="24"/>
              </w:rPr>
            </w:pPr>
          </w:p>
        </w:tc>
      </w:tr>
      <w:tr w:rsidR="00FB55B1" w:rsidRPr="00037905" w:rsidTr="0032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pStyle w:val="Textedebase"/>
              <w:spacing w:before="50" w:after="50"/>
              <w:ind w:left="567" w:hanging="567"/>
              <w:jc w:val="left"/>
              <w:rPr>
                <w:rFonts w:cs="Arial"/>
                <w:szCs w:val="24"/>
              </w:rPr>
            </w:pPr>
            <w:r>
              <w:t>6.4</w:t>
            </w:r>
            <w:r>
              <w:tab/>
              <w:t>Le délai moyen maximal pour ouvrir une réponse (seize heures ouvrables) est-il respecté?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15546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5337C5" w:rsidP="00324D53">
            <w:pPr>
              <w:spacing w:before="50" w:after="5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762707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</w:rPr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1" w:rsidRPr="00037905" w:rsidRDefault="00FB55B1" w:rsidP="00324D53">
            <w:pPr>
              <w:spacing w:before="50" w:after="50"/>
              <w:rPr>
                <w:rFonts w:cs="Arial"/>
                <w:bCs/>
                <w:szCs w:val="24"/>
              </w:rPr>
            </w:pPr>
          </w:p>
        </w:tc>
      </w:tr>
    </w:tbl>
    <w:p w:rsidR="00FB55B1" w:rsidRPr="00BC09B2" w:rsidRDefault="00FB55B1" w:rsidP="00FB55B1">
      <w:pPr>
        <w:pStyle w:val="0Textedebase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1418"/>
        <w:gridCol w:w="670"/>
        <w:gridCol w:w="798"/>
        <w:gridCol w:w="1563"/>
      </w:tblGrid>
      <w:tr w:rsidR="00FB55B1" w:rsidRPr="00BC09B2" w:rsidTr="00324D53">
        <w:trPr>
          <w:tblHeader/>
        </w:trPr>
        <w:tc>
          <w:tcPr>
            <w:tcW w:w="3951" w:type="pct"/>
          </w:tcPr>
          <w:p w:rsidR="00FB55B1" w:rsidRPr="00BC09B2" w:rsidRDefault="00FB55B1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232" w:type="pct"/>
          </w:tcPr>
          <w:p w:rsidR="00FB55B1" w:rsidRPr="00BC09B2" w:rsidRDefault="00FB55B1" w:rsidP="00324D53">
            <w:pPr>
              <w:pStyle w:val="0Textedebase"/>
              <w:spacing w:before="60" w:after="60"/>
              <w:jc w:val="left"/>
            </w:pPr>
            <w:r>
              <w:rPr>
                <w:i/>
                <w:szCs w:val="24"/>
              </w:rPr>
              <w:t>Oui</w:t>
            </w:r>
          </w:p>
        </w:tc>
        <w:tc>
          <w:tcPr>
            <w:tcW w:w="276" w:type="pct"/>
          </w:tcPr>
          <w:p w:rsidR="00FB55B1" w:rsidRPr="00BC09B2" w:rsidRDefault="00FB55B1" w:rsidP="00324D53">
            <w:pPr>
              <w:pStyle w:val="0Textedebase"/>
              <w:spacing w:before="60" w:after="60"/>
              <w:jc w:val="left"/>
            </w:pPr>
            <w:r>
              <w:rPr>
                <w:i/>
                <w:szCs w:val="24"/>
              </w:rPr>
              <w:t>Non</w:t>
            </w:r>
          </w:p>
        </w:tc>
        <w:tc>
          <w:tcPr>
            <w:tcW w:w="541" w:type="pct"/>
          </w:tcPr>
          <w:p w:rsidR="00FB55B1" w:rsidRPr="00BC09B2" w:rsidRDefault="00FB55B1" w:rsidP="00324D53">
            <w:pPr>
              <w:pStyle w:val="0Textedebase"/>
              <w:spacing w:before="60" w:after="60"/>
              <w:jc w:val="left"/>
            </w:pPr>
            <w:r>
              <w:rPr>
                <w:i/>
                <w:szCs w:val="24"/>
              </w:rPr>
              <w:t>Commentaires</w:t>
            </w:r>
          </w:p>
        </w:tc>
      </w:tr>
      <w:tr w:rsidR="00FB55B1" w:rsidRPr="00BC09B2" w:rsidTr="00324D53">
        <w:tc>
          <w:tcPr>
            <w:tcW w:w="5000" w:type="pct"/>
            <w:gridSpan w:val="4"/>
          </w:tcPr>
          <w:p w:rsidR="00FB55B1" w:rsidRPr="00BC09B2" w:rsidRDefault="00FB55B1" w:rsidP="00324D53">
            <w:pPr>
              <w:pStyle w:val="0Textedebase"/>
              <w:spacing w:before="60" w:after="60"/>
              <w:ind w:right="-42"/>
              <w:jc w:val="left"/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Qualité et conformité des données</w:t>
            </w:r>
          </w:p>
        </w:tc>
      </w:tr>
      <w:tr w:rsidR="00FB55B1" w:rsidRPr="00BC09B2" w:rsidTr="00324D53">
        <w:tc>
          <w:tcPr>
            <w:tcW w:w="3951" w:type="pct"/>
          </w:tcPr>
          <w:p w:rsidR="00FB55B1" w:rsidRDefault="00FB55B1" w:rsidP="00324D53">
            <w:pPr>
              <w:tabs>
                <w:tab w:val="left" w:pos="8647"/>
                <w:tab w:val="left" w:pos="9214"/>
              </w:tabs>
              <w:spacing w:before="60" w:after="60"/>
              <w:ind w:left="567" w:hanging="567"/>
            </w:pPr>
            <w:r>
              <w:t>7.1</w:t>
            </w:r>
            <w:r>
              <w:tab/>
              <w:t>L</w:t>
            </w:r>
            <w:r w:rsidR="00414024">
              <w:t>’</w:t>
            </w:r>
            <w:r>
              <w:t>opérateur désigné participe-t-il au projet de conformité de l</w:t>
            </w:r>
            <w:r w:rsidR="00414024">
              <w:t>’</w:t>
            </w:r>
            <w:r>
              <w:t>UPU?</w:t>
            </w:r>
          </w:p>
          <w:p w:rsidR="00FB55B1" w:rsidRPr="00BC09B2" w:rsidRDefault="00FB55B1" w:rsidP="00324D53">
            <w:pPr>
              <w:tabs>
                <w:tab w:val="left" w:pos="8647"/>
                <w:tab w:val="left" w:pos="9214"/>
              </w:tabs>
              <w:spacing w:before="60" w:after="60"/>
              <w:ind w:left="567"/>
            </w:pPr>
            <w:r>
              <w:t>Dans l</w:t>
            </w:r>
            <w:r w:rsidR="00414024">
              <w:t>’</w:t>
            </w:r>
            <w:r>
              <w:t>affirmative, veuillez indiquer le niveau de conformité sur la base des rapports de l</w:t>
            </w:r>
            <w:r w:rsidR="00414024">
              <w:t>’</w:t>
            </w:r>
            <w:r>
              <w:t>année en cours et des années précédentes.</w:t>
            </w:r>
          </w:p>
        </w:tc>
        <w:tc>
          <w:tcPr>
            <w:tcW w:w="232" w:type="pct"/>
          </w:tcPr>
          <w:p w:rsidR="00FB55B1" w:rsidRPr="00BC09B2" w:rsidRDefault="005337C5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615616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BC09B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FB55B1" w:rsidRPr="00BC09B2" w:rsidRDefault="005337C5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625000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B55B1" w:rsidRPr="00BC09B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41" w:type="pct"/>
          </w:tcPr>
          <w:p w:rsidR="00FB55B1" w:rsidRPr="00BC09B2" w:rsidRDefault="00FB55B1" w:rsidP="00324D53">
            <w:pPr>
              <w:pStyle w:val="0Textedebase"/>
              <w:spacing w:before="60" w:after="60"/>
              <w:ind w:right="-70"/>
              <w:jc w:val="left"/>
            </w:pPr>
            <w:r>
              <w:t xml:space="preserve">Points </w:t>
            </w:r>
            <w:r>
              <w:br/>
            </w:r>
            <w:r w:rsidRPr="00966281">
              <w:rPr>
                <w:spacing w:val="-3"/>
              </w:rPr>
              <w:t>à attribuer selon</w:t>
            </w:r>
            <w:r>
              <w:t xml:space="preserve"> le tableau ci-dessous</w:t>
            </w:r>
          </w:p>
        </w:tc>
      </w:tr>
    </w:tbl>
    <w:p w:rsidR="00FB55B1" w:rsidRPr="00BC09B2" w:rsidRDefault="00FB55B1" w:rsidP="00FB55B1">
      <w:pPr>
        <w:pStyle w:val="0Textedebas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446"/>
        <w:gridCol w:w="3615"/>
        <w:gridCol w:w="1020"/>
        <w:gridCol w:w="4208"/>
      </w:tblGrid>
      <w:tr w:rsidR="00FB55B1" w:rsidRPr="00BC09B2" w:rsidTr="00324D53">
        <w:trPr>
          <w:tblHeader/>
        </w:trPr>
        <w:tc>
          <w:tcPr>
            <w:tcW w:w="747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Type</w:t>
            </w: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Indicateur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  <w:ind w:right="-105"/>
              <w:rPr>
                <w:i/>
                <w:iCs/>
              </w:rPr>
            </w:pPr>
            <w:r>
              <w:rPr>
                <w:i/>
                <w:iCs/>
              </w:rPr>
              <w:t>Résultats pour l</w:t>
            </w:r>
            <w:r w:rsidR="00414024">
              <w:rPr>
                <w:i/>
                <w:iCs/>
              </w:rPr>
              <w:t>’</w:t>
            </w:r>
            <w:r>
              <w:rPr>
                <w:i/>
                <w:iCs/>
              </w:rPr>
              <w:t>année en cours (moyenne des douze derniers mois)</w:t>
            </w:r>
          </w:p>
        </w:tc>
        <w:tc>
          <w:tcPr>
            <w:tcW w:w="353" w:type="pct"/>
          </w:tcPr>
          <w:p w:rsidR="00FB55B1" w:rsidRPr="008A1AF9" w:rsidRDefault="00FB55B1" w:rsidP="00324D53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Objectif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  <w:rPr>
                <w:i/>
                <w:iCs/>
              </w:rPr>
            </w:pPr>
            <w:r>
              <w:rPr>
                <w:rStyle w:val="Lienhypertexte"/>
                <w:i/>
                <w:iCs/>
              </w:rPr>
              <w:t>Points (conformément aux objectifs du projet de conformité</w:t>
            </w:r>
            <w:r>
              <w:rPr>
                <w:i/>
                <w:iCs/>
              </w:rPr>
              <w:t xml:space="preserve">: vert = 1; autrement: </w:t>
            </w:r>
            <w:r>
              <w:rPr>
                <w:i/>
              </w:rPr>
              <w:t>0)</w:t>
            </w:r>
          </w:p>
        </w:tc>
      </w:tr>
      <w:tr w:rsidR="00FB55B1" w:rsidRPr="00BC09B2" w:rsidTr="00324D53">
        <w:tc>
          <w:tcPr>
            <w:tcW w:w="747" w:type="pct"/>
            <w:vMerge w:val="restart"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  <w:r>
              <w:t>Échange de données informatisé (EDI)</w:t>
            </w: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7.1.1</w:t>
            </w:r>
            <w:r>
              <w:tab/>
              <w:t>Conformité générale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7.1.2</w:t>
            </w:r>
            <w:r>
              <w:tab/>
              <w:t>Caractéristiques communes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100%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7.1.3</w:t>
            </w:r>
            <w:r>
              <w:tab/>
              <w:t>EMSEVT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7.1.4</w:t>
            </w:r>
            <w:r>
              <w:tab/>
              <w:t>PREDES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7.1.5</w:t>
            </w:r>
            <w:r>
              <w:tab/>
              <w:t>RESDES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7.1.6</w:t>
            </w:r>
            <w:r>
              <w:tab/>
              <w:t>PRECON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7.1.7</w:t>
            </w:r>
            <w:r>
              <w:tab/>
              <w:t>RESCON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7.1.8</w:t>
            </w:r>
            <w:r>
              <w:tab/>
              <w:t>CARDIT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567" w:hanging="567"/>
            </w:pPr>
            <w:r>
              <w:t>7.1.9</w:t>
            </w:r>
            <w:r>
              <w:tab/>
              <w:t>ITMATT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97%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 w:val="restart"/>
            <w:shd w:val="clear" w:color="auto" w:fill="auto"/>
          </w:tcPr>
          <w:p w:rsidR="00FB55B1" w:rsidRPr="00BC09B2" w:rsidRDefault="00FB55B1" w:rsidP="00324D53">
            <w:pPr>
              <w:pageBreakBefore/>
              <w:spacing w:before="60" w:after="60"/>
            </w:pPr>
            <w:r>
              <w:lastRenderedPageBreak/>
              <w:t>Autre</w:t>
            </w: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680" w:hanging="680"/>
            </w:pPr>
            <w:r>
              <w:t>7.1.10</w:t>
            </w:r>
            <w:r>
              <w:tab/>
              <w:t xml:space="preserve">Centre de traitement </w:t>
            </w:r>
            <w:r>
              <w:br/>
              <w:t>du courrier international (CTCI) de l</w:t>
            </w:r>
            <w:r w:rsidR="00414024">
              <w:t>’</w:t>
            </w:r>
            <w:r>
              <w:t>opérateur désigné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99,9%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680" w:hanging="680"/>
            </w:pPr>
            <w:r>
              <w:t>7.1.11</w:t>
            </w:r>
            <w:r>
              <w:tab/>
              <w:t>CTCI partenaire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rPr>
                <w:rStyle w:val="markedcontent"/>
              </w:rPr>
              <w:t>&gt; 99,5%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680" w:hanging="680"/>
            </w:pPr>
            <w:r>
              <w:t>7.1.12</w:t>
            </w:r>
            <w:r>
              <w:tab/>
              <w:t xml:space="preserve">Mise à niveau des messages 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99%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680" w:hanging="680"/>
            </w:pPr>
            <w:r>
              <w:t>7.1.13</w:t>
            </w:r>
            <w:r>
              <w:tab/>
              <w:t>Connectivité EDI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rPr>
                <w:rStyle w:val="markedcontent"/>
              </w:rPr>
              <w:t>&gt; 99%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  <w:tr w:rsidR="00FB55B1" w:rsidRPr="00BC09B2" w:rsidTr="00324D53">
        <w:tc>
          <w:tcPr>
            <w:tcW w:w="747" w:type="pct"/>
            <w:vMerge/>
            <w:shd w:val="clear" w:color="auto" w:fill="auto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:rsidR="00FB55B1" w:rsidRPr="00BC09B2" w:rsidRDefault="00FB55B1" w:rsidP="00324D53">
            <w:pPr>
              <w:spacing w:before="60" w:after="60"/>
              <w:ind w:left="680" w:hanging="680"/>
            </w:pPr>
            <w:r>
              <w:t>7.1.14</w:t>
            </w:r>
            <w:r>
              <w:tab/>
              <w:t xml:space="preserve">Incohérence entre EMA </w:t>
            </w:r>
            <w:r>
              <w:br/>
              <w:t>et EMC</w:t>
            </w:r>
          </w:p>
        </w:tc>
        <w:tc>
          <w:tcPr>
            <w:tcW w:w="1251" w:type="pct"/>
          </w:tcPr>
          <w:p w:rsidR="00FB55B1" w:rsidRPr="00BC09B2" w:rsidRDefault="00FB55B1" w:rsidP="00324D53">
            <w:pPr>
              <w:spacing w:before="60" w:after="60"/>
            </w:pPr>
          </w:p>
        </w:tc>
        <w:tc>
          <w:tcPr>
            <w:tcW w:w="353" w:type="pct"/>
          </w:tcPr>
          <w:p w:rsidR="00FB55B1" w:rsidRPr="004A3E1D" w:rsidRDefault="00FB55B1" w:rsidP="00324D53">
            <w:pPr>
              <w:spacing w:before="60" w:after="60"/>
            </w:pPr>
            <w:r>
              <w:t>&gt; 99%</w:t>
            </w:r>
          </w:p>
        </w:tc>
        <w:tc>
          <w:tcPr>
            <w:tcW w:w="1456" w:type="pct"/>
          </w:tcPr>
          <w:p w:rsidR="00FB55B1" w:rsidRPr="00BC09B2" w:rsidRDefault="00FB55B1" w:rsidP="00324D53">
            <w:pPr>
              <w:spacing w:before="60" w:after="60"/>
            </w:pPr>
            <w:r>
              <w:t>1</w:t>
            </w:r>
          </w:p>
        </w:tc>
      </w:tr>
    </w:tbl>
    <w:p w:rsidR="00FB55B1" w:rsidRPr="00037905" w:rsidRDefault="00FB55B1" w:rsidP="00FB55B1">
      <w:pPr>
        <w:spacing w:line="220" w:lineRule="atLeast"/>
        <w:jc w:val="both"/>
      </w:pPr>
    </w:p>
    <w:p w:rsidR="00FB55B1" w:rsidRPr="00037905" w:rsidRDefault="00FB55B1" w:rsidP="00FB55B1">
      <w:pPr>
        <w:spacing w:line="220" w:lineRule="atLeast"/>
        <w:jc w:val="both"/>
      </w:pPr>
      <w:r>
        <w:rPr>
          <w:bCs/>
        </w:rPr>
        <w:t>Remarque:</w:t>
      </w:r>
      <w:r>
        <w:t xml:space="preserve"> le Bureau international (Direction des opérations postales) actualisera la feuille de résultats à chaque changement de règle, d</w:t>
      </w:r>
      <w:r w:rsidR="00414024">
        <w:t>’</w:t>
      </w:r>
      <w:r>
        <w:t>objectif ou d</w:t>
      </w:r>
      <w:r w:rsidR="00414024">
        <w:t>’</w:t>
      </w:r>
      <w:r>
        <w:t>indicateur.</w:t>
      </w:r>
    </w:p>
    <w:p w:rsidR="00D61B31" w:rsidRPr="00C0653D" w:rsidRDefault="00D61B31" w:rsidP="00447A02">
      <w:pPr>
        <w:jc w:val="both"/>
      </w:pPr>
    </w:p>
    <w:sectPr w:rsidR="00D61B31" w:rsidRPr="00C0653D" w:rsidSect="00070577">
      <w:headerReference w:type="first" r:id="rId14"/>
      <w:endnotePr>
        <w:numFmt w:val="decimal"/>
      </w:endnotePr>
      <w:pgSz w:w="16840" w:h="11907" w:orient="landscape" w:code="9"/>
      <w:pgMar w:top="1418" w:right="1247" w:bottom="851" w:left="1134" w:header="0" w:footer="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B1" w:rsidRDefault="00FB55B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FB55B1" w:rsidRDefault="00FB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98" w:rsidRDefault="00DE19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98" w:rsidRDefault="00DE19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98" w:rsidRDefault="00DE19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B1" w:rsidRDefault="00FB55B1" w:rsidP="009E7ADC">
      <w:pPr>
        <w:rPr>
          <w:sz w:val="18"/>
        </w:rPr>
      </w:pPr>
    </w:p>
  </w:footnote>
  <w:footnote w:type="continuationSeparator" w:id="0">
    <w:p w:rsidR="00FB55B1" w:rsidRDefault="00FB55B1" w:rsidP="009E7ADC"/>
  </w:footnote>
  <w:footnote w:type="continuationNotice" w:id="1">
    <w:p w:rsidR="00FB55B1" w:rsidRDefault="00FB55B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B1" w:rsidRDefault="00FB55B1">
    <w:pPr>
      <w:jc w:val="center"/>
    </w:pPr>
    <w:r>
      <w:pgNum/>
    </w:r>
  </w:p>
  <w:p w:rsidR="00FB55B1" w:rsidRDefault="00FB55B1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B1" w:rsidRPr="009E6F49" w:rsidRDefault="00FB55B1" w:rsidP="009E6F49">
    <w:pPr>
      <w:pStyle w:val="En-tte"/>
    </w:pPr>
    <w:r>
      <w:rPr>
        <w:noProof/>
        <w:lang w:val="fr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684E8B8" wp14:editId="03E09465">
              <wp:simplePos x="0" y="0"/>
              <wp:positionH relativeFrom="column">
                <wp:posOffset>9161145</wp:posOffset>
              </wp:positionH>
              <wp:positionV relativeFrom="paragraph">
                <wp:posOffset>883285</wp:posOffset>
              </wp:positionV>
              <wp:extent cx="330835" cy="61341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5B1" w:rsidRDefault="00FB55B1" w:rsidP="009E6F49">
                          <w:pPr>
                            <w:jc w:val="center"/>
                            <w:rPr>
                              <w:rStyle w:val="Numrodepage"/>
                              <w:rFonts w:cs="Arial"/>
                            </w:rPr>
                          </w:pP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separate"/>
                          </w:r>
                          <w:r w:rsidR="005337C5">
                            <w:rPr>
                              <w:rStyle w:val="Numrodepage"/>
                              <w:rFonts w:cs="Arial"/>
                              <w:noProof/>
                            </w:rPr>
                            <w:t>6</w: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end"/>
                          </w:r>
                        </w:p>
                        <w:p w:rsidR="00FB55B1" w:rsidRPr="001E40F3" w:rsidRDefault="00FB55B1" w:rsidP="009E6F49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4E8B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21.35pt;margin-top:69.55pt;width:26.05pt;height:48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" stroked="f">
              <v:textbox style="layout-flow:vertical-ideographic" inset="0,0,0,0">
                <w:txbxContent>
                  <w:p w:rsidR="00FB55B1" w:rsidRDefault="00FB55B1" w:rsidP="009E6F49">
                    <w:pPr>
                      <w:jc w:val="center"/>
                      <w:rPr>
                        <w:rStyle w:val="Numrodepage"/>
                        <w:rFonts w:cs="Arial"/>
                      </w:rPr>
                    </w:pPr>
                    <w:r w:rsidRPr="001E40F3">
                      <w:rPr>
                        <w:rStyle w:val="Numrodepage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umrodepage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separate"/>
                    </w:r>
                    <w:r w:rsidR="005337C5">
                      <w:rPr>
                        <w:rStyle w:val="Numrodepage"/>
                        <w:rFonts w:cs="Arial"/>
                        <w:noProof/>
                      </w:rPr>
                      <w:t>6</w: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end"/>
                    </w:r>
                  </w:p>
                  <w:p w:rsidR="00FB55B1" w:rsidRPr="001E40F3" w:rsidRDefault="00FB55B1" w:rsidP="009E6F49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B1" w:rsidRDefault="00FB55B1">
    <w:pPr>
      <w:pStyle w:val="En-tte"/>
    </w:pPr>
    <w:r>
      <w:rPr>
        <w:noProof/>
        <w:lang w:val="fr-CH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9A986FC" wp14:editId="57AC5666">
              <wp:simplePos x="0" y="0"/>
              <wp:positionH relativeFrom="column">
                <wp:posOffset>9079230</wp:posOffset>
              </wp:positionH>
              <wp:positionV relativeFrom="paragraph">
                <wp:posOffset>914400</wp:posOffset>
              </wp:positionV>
              <wp:extent cx="426720" cy="2103120"/>
              <wp:effectExtent l="0" t="0" r="11430" b="1143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103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5B1" w:rsidRDefault="00FB55B1">
                          <w:r>
                            <w:rPr>
                              <w:noProof/>
                              <w:lang w:val="fr-CH"/>
                            </w:rPr>
                            <w:drawing>
                              <wp:inline distT="0" distB="0" distL="0" distR="0" wp14:anchorId="13CBD8A9" wp14:editId="0E438FE2">
                                <wp:extent cx="421200" cy="1749600"/>
                                <wp:effectExtent l="0" t="0" r="0" b="3175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pu_logotype_black-white_positive_90_degres_1200_fr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1200" cy="174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9A986F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14.9pt;margin-top:1in;width:33.6pt;height:16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" filled="f" stroked="f" strokeweight=".5pt">
              <v:textbox inset="0,0,0,0">
                <w:txbxContent>
                  <w:p w:rsidR="00FB55B1" w:rsidRDefault="00FB55B1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3CBD8A9" wp14:editId="0E438FE2">
                          <wp:extent cx="421200" cy="1749600"/>
                          <wp:effectExtent l="0" t="0" r="0" b="3175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pu_logotype_black-white_positive_90_degres_1200_fr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1200" cy="174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97B73A1" wp14:editId="600FA288">
              <wp:simplePos x="0" y="0"/>
              <wp:positionH relativeFrom="column">
                <wp:posOffset>8314690</wp:posOffset>
              </wp:positionH>
              <wp:positionV relativeFrom="paragraph">
                <wp:posOffset>895350</wp:posOffset>
              </wp:positionV>
              <wp:extent cx="1209675" cy="6105525"/>
              <wp:effectExtent l="0" t="0" r="9525" b="952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10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BF" w:rsidRPr="00DA782F" w:rsidRDefault="00DE1998" w:rsidP="00DA782F">
                          <w:pPr>
                            <w:jc w:val="right"/>
                          </w:pPr>
                          <w:r>
                            <w:rPr>
                              <w:rFonts w:cs="Arial"/>
                            </w:rPr>
                            <w:t>Annexe 3 à la lettre 0620(DOP.QSC.QIP)1068</w:t>
                          </w:r>
                          <w:r>
                            <w:rPr>
                              <w:rFonts w:cs="Arial"/>
                            </w:rPr>
                            <w:br/>
                            <w:t>du 27 juin 2023</w:t>
                          </w:r>
                        </w:p>
                        <w:p w:rsidR="00FB55B1" w:rsidRDefault="00FB55B1" w:rsidP="009E6F49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  <w:p w:rsidR="00FB55B1" w:rsidRPr="00366FEB" w:rsidRDefault="00FB55B1" w:rsidP="009E6F49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73A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54.7pt;margin-top:70.5pt;width:95.25pt;height:480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" stroked="f">
              <v:textbox style="layout-flow:vertical" inset="0,0,0,0">
                <w:txbxContent>
                  <w:p w:rsidR="00D900BF" w:rsidRPr="00DA782F" w:rsidRDefault="00DE1998" w:rsidP="00DA782F">
                    <w:pPr>
                      <w:jc w:val="right"/>
                    </w:pPr>
                    <w:r>
                      <w:rPr>
                        <w:rFonts w:cs="Arial"/>
                      </w:rPr>
                      <w:t xml:space="preserve">Annexe </w:t>
                    </w:r>
                    <w:r>
                      <w:rPr>
                        <w:rFonts w:cs="Arial"/>
                      </w:rPr>
                      <w:t>3</w:t>
                    </w:r>
                    <w:bookmarkStart w:id="1" w:name="_GoBack"/>
                    <w:bookmarkEnd w:id="1"/>
                    <w:r>
                      <w:rPr>
                        <w:rFonts w:cs="Arial"/>
                      </w:rPr>
                      <w:t xml:space="preserve"> à la lettre 0620(DOP.QSC.QIP)1068</w:t>
                    </w:r>
                    <w:r>
                      <w:rPr>
                        <w:rFonts w:cs="Arial"/>
                      </w:rPr>
                      <w:br/>
                      <w:t>du 27 juin 2023</w:t>
                    </w:r>
                  </w:p>
                  <w:p w:rsidR="00FB55B1" w:rsidRDefault="00FB55B1" w:rsidP="009E6F49">
                    <w:pPr>
                      <w:jc w:val="right"/>
                      <w:rPr>
                        <w:rFonts w:cs="Arial"/>
                      </w:rPr>
                    </w:pPr>
                  </w:p>
                  <w:p w:rsidR="00FB55B1" w:rsidRPr="00366FEB" w:rsidRDefault="00FB55B1" w:rsidP="009E6F49">
                    <w:pPr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8E" w:rsidRDefault="008F358E">
    <w:pPr>
      <w:pStyle w:val="En-tte"/>
    </w:pPr>
    <w:r>
      <w:rPr>
        <w:noProof/>
        <w:lang w:val="fr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0F5526" wp14:editId="68429567">
              <wp:simplePos x="0" y="0"/>
              <wp:positionH relativeFrom="rightMargin">
                <wp:align>left</wp:align>
              </wp:positionH>
              <wp:positionV relativeFrom="paragraph">
                <wp:posOffset>899160</wp:posOffset>
              </wp:positionV>
              <wp:extent cx="330835" cy="6134100"/>
              <wp:effectExtent l="0" t="0" r="0" b="0"/>
              <wp:wrapNone/>
              <wp:docPr id="3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8E" w:rsidRDefault="008F358E" w:rsidP="008F358E">
                          <w:pPr>
                            <w:jc w:val="center"/>
                            <w:rPr>
                              <w:rStyle w:val="Numrodepage"/>
                              <w:rFonts w:cs="Arial"/>
                            </w:rPr>
                          </w:pP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separate"/>
                          </w:r>
                          <w:r w:rsidR="005337C5">
                            <w:rPr>
                              <w:rStyle w:val="Numrodepage"/>
                              <w:rFonts w:cs="Arial"/>
                              <w:noProof/>
                            </w:rPr>
                            <w:t>2</w: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end"/>
                          </w:r>
                        </w:p>
                        <w:p w:rsidR="008F358E" w:rsidRPr="001E40F3" w:rsidRDefault="008F358E" w:rsidP="008F358E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F55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0.8pt;width:26.05pt;height:48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" stroked="f">
              <v:textbox style="layout-flow:vertical-ideographic" inset="0,0,0,0">
                <w:txbxContent>
                  <w:p w:rsidR="008F358E" w:rsidRDefault="008F358E" w:rsidP="008F358E">
                    <w:pPr>
                      <w:jc w:val="center"/>
                      <w:rPr>
                        <w:rStyle w:val="Numrodepage"/>
                        <w:rFonts w:cs="Arial"/>
                      </w:rPr>
                    </w:pPr>
                    <w:r w:rsidRPr="001E40F3">
                      <w:rPr>
                        <w:rStyle w:val="Numrodepage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umrodepage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separate"/>
                    </w:r>
                    <w:r w:rsidR="005337C5">
                      <w:rPr>
                        <w:rStyle w:val="Numrodepage"/>
                        <w:rFonts w:cs="Arial"/>
                        <w:noProof/>
                      </w:rPr>
                      <w:t>2</w: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end"/>
                    </w:r>
                  </w:p>
                  <w:p w:rsidR="008F358E" w:rsidRPr="001E40F3" w:rsidRDefault="008F358E" w:rsidP="008F358E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2D48AA3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58C62FB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975AC2FC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1"/>
    <w:rsid w:val="000021DD"/>
    <w:rsid w:val="00004D2B"/>
    <w:rsid w:val="0002298F"/>
    <w:rsid w:val="00023669"/>
    <w:rsid w:val="000251F1"/>
    <w:rsid w:val="00026EC5"/>
    <w:rsid w:val="000402AD"/>
    <w:rsid w:val="00043CC8"/>
    <w:rsid w:val="000465C4"/>
    <w:rsid w:val="000465C9"/>
    <w:rsid w:val="00070577"/>
    <w:rsid w:val="00075921"/>
    <w:rsid w:val="000B24C3"/>
    <w:rsid w:val="000C78BC"/>
    <w:rsid w:val="000D1BB1"/>
    <w:rsid w:val="000E0AB2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A4314"/>
    <w:rsid w:val="001C3CBC"/>
    <w:rsid w:val="001E15DF"/>
    <w:rsid w:val="00226E9F"/>
    <w:rsid w:val="00232DCA"/>
    <w:rsid w:val="00243F9E"/>
    <w:rsid w:val="00252E32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2A63"/>
    <w:rsid w:val="002F7773"/>
    <w:rsid w:val="003002DC"/>
    <w:rsid w:val="003104EA"/>
    <w:rsid w:val="003118BD"/>
    <w:rsid w:val="00325076"/>
    <w:rsid w:val="00325132"/>
    <w:rsid w:val="00331C6E"/>
    <w:rsid w:val="0033375B"/>
    <w:rsid w:val="003405FB"/>
    <w:rsid w:val="003407BC"/>
    <w:rsid w:val="00342CD6"/>
    <w:rsid w:val="00343FF6"/>
    <w:rsid w:val="00355163"/>
    <w:rsid w:val="00361DE6"/>
    <w:rsid w:val="00372B67"/>
    <w:rsid w:val="003741B9"/>
    <w:rsid w:val="0037420A"/>
    <w:rsid w:val="003750AE"/>
    <w:rsid w:val="00376861"/>
    <w:rsid w:val="003B1F46"/>
    <w:rsid w:val="00414024"/>
    <w:rsid w:val="00422F57"/>
    <w:rsid w:val="004339D7"/>
    <w:rsid w:val="00447A02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37C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C60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249BE"/>
    <w:rsid w:val="00756C4A"/>
    <w:rsid w:val="00757BB9"/>
    <w:rsid w:val="00761DEC"/>
    <w:rsid w:val="0076291C"/>
    <w:rsid w:val="00765399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45D93"/>
    <w:rsid w:val="00857B50"/>
    <w:rsid w:val="0087570D"/>
    <w:rsid w:val="00894CD8"/>
    <w:rsid w:val="00897E26"/>
    <w:rsid w:val="008A5A68"/>
    <w:rsid w:val="008B7E25"/>
    <w:rsid w:val="008D0733"/>
    <w:rsid w:val="008D3810"/>
    <w:rsid w:val="008E54AA"/>
    <w:rsid w:val="008E7619"/>
    <w:rsid w:val="008F12A9"/>
    <w:rsid w:val="008F358E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65FB"/>
    <w:rsid w:val="009E6F49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B8D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60AAE"/>
    <w:rsid w:val="00B7190D"/>
    <w:rsid w:val="00B838AD"/>
    <w:rsid w:val="00B86608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174F"/>
    <w:rsid w:val="00C17350"/>
    <w:rsid w:val="00C21452"/>
    <w:rsid w:val="00C265BC"/>
    <w:rsid w:val="00C2769E"/>
    <w:rsid w:val="00C35110"/>
    <w:rsid w:val="00C360FE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24EA2"/>
    <w:rsid w:val="00D3589B"/>
    <w:rsid w:val="00D50254"/>
    <w:rsid w:val="00D608B5"/>
    <w:rsid w:val="00D61B31"/>
    <w:rsid w:val="00D64064"/>
    <w:rsid w:val="00D73262"/>
    <w:rsid w:val="00D73A0A"/>
    <w:rsid w:val="00D900BF"/>
    <w:rsid w:val="00DA49AB"/>
    <w:rsid w:val="00DA646A"/>
    <w:rsid w:val="00DB7EC0"/>
    <w:rsid w:val="00DC4D86"/>
    <w:rsid w:val="00DE1998"/>
    <w:rsid w:val="00DF6D27"/>
    <w:rsid w:val="00E048A5"/>
    <w:rsid w:val="00E10CD5"/>
    <w:rsid w:val="00E270C8"/>
    <w:rsid w:val="00E31D00"/>
    <w:rsid w:val="00E3448B"/>
    <w:rsid w:val="00E57F7B"/>
    <w:rsid w:val="00E72B05"/>
    <w:rsid w:val="00E76C5C"/>
    <w:rsid w:val="00E80878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A3B52"/>
    <w:rsid w:val="00FB2BBC"/>
    <w:rsid w:val="00FB55B1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9531583"/>
  <w15:docId w15:val="{BD2D31D9-F10B-427A-9470-BB7EA84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B1"/>
    <w:pPr>
      <w:spacing w:line="240" w:lineRule="atLeast"/>
    </w:pPr>
    <w:rPr>
      <w:rFonts w:ascii="Arial" w:hAnsi="Arial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8D0733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8D0733"/>
    <w:pPr>
      <w:numPr>
        <w:numId w:val="18"/>
      </w:numPr>
      <w:spacing w:before="120"/>
    </w:pPr>
  </w:style>
  <w:style w:type="character" w:styleId="Numrodepage">
    <w:name w:val="page number"/>
    <w:rsid w:val="009E6F49"/>
    <w:rPr>
      <w:rFonts w:ascii="Arial" w:hAnsi="Arial"/>
      <w:sz w:val="20"/>
      <w:szCs w:val="20"/>
    </w:r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E80878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243F9E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243F9E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243F9E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0Textedebase">
    <w:name w:val="0 Texte de base"/>
    <w:basedOn w:val="Normal"/>
    <w:rsid w:val="00FB55B1"/>
    <w:pPr>
      <w:jc w:val="both"/>
    </w:pPr>
  </w:style>
  <w:style w:type="table" w:styleId="Grilledutableau">
    <w:name w:val="Table Grid"/>
    <w:basedOn w:val="TableauNormal"/>
    <w:rsid w:val="00FB55B1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FB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PEGASE-7-1265595</_dlc_DocId>
    <_dlc_DocIdUrl xmlns="b4ec4095-9810-4e60-b964-3161185fe897">
      <Url>https://pegase.upu.int/_layouts/DocIdRedir.aspx?ID=PEGASE-7-1265595</Url>
      <Description>PEGASE-7-1265595</Description>
    </_dlc_DocIdUrl>
  </documentManagement>
</p:properties>
</file>

<file path=customXml/itemProps1.xml><?xml version="1.0" encoding="utf-8"?>
<ds:datastoreItem xmlns:ds="http://schemas.openxmlformats.org/officeDocument/2006/customXml" ds:itemID="{9F28BE89-E7D3-4E43-B7AA-BA1BF7498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CC887-C582-4123-BB29-3CC298C89B39}"/>
</file>

<file path=customXml/itemProps3.xml><?xml version="1.0" encoding="utf-8"?>
<ds:datastoreItem xmlns:ds="http://schemas.openxmlformats.org/officeDocument/2006/customXml" ds:itemID="{B96205E5-A552-4A26-942A-0E88D536BB87}"/>
</file>

<file path=customXml/itemProps4.xml><?xml version="1.0" encoding="utf-8"?>
<ds:datastoreItem xmlns:ds="http://schemas.openxmlformats.org/officeDocument/2006/customXml" ds:itemID="{F1A01EDB-1CB5-41F9-B718-E63D3201B41B}"/>
</file>

<file path=customXml/itemProps5.xml><?xml version="1.0" encoding="utf-8"?>
<ds:datastoreItem xmlns:ds="http://schemas.openxmlformats.org/officeDocument/2006/customXml" ds:itemID="{827548EF-ADB2-4ECA-9375-089A4078E00A}"/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paysage</Template>
  <TotalTime>7</TotalTime>
  <Pages>6</Pages>
  <Words>1430</Words>
  <Characters>7612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JEANNERET elena</dc:creator>
  <cp:lastModifiedBy>WALTHER david</cp:lastModifiedBy>
  <cp:revision>7</cp:revision>
  <cp:lastPrinted>2015-02-24T12:18:00Z</cp:lastPrinted>
  <dcterms:created xsi:type="dcterms:W3CDTF">2023-04-13T14:44:00Z</dcterms:created>
  <dcterms:modified xsi:type="dcterms:W3CDTF">2023-06-22T13:23:00Z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5a42b9cd-2c65-4d8b-8f17-c573919cd9f8</vt:lpwstr>
  </property>
</Properties>
</file>