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D4E06" w14:textId="77777777" w:rsidR="0031358D" w:rsidRPr="00D0247F" w:rsidRDefault="0031358D" w:rsidP="0031358D">
      <w:pPr>
        <w:pStyle w:val="Titre1"/>
        <w:spacing w:line="240" w:lineRule="auto"/>
        <w:ind w:left="0" w:firstLine="0"/>
        <w:rPr>
          <w:rFonts w:asciiTheme="minorBidi" w:eastAsia="MS Mincho" w:hAnsiTheme="minorBidi" w:cstheme="minorBidi"/>
          <w:bCs w:val="0"/>
        </w:rPr>
      </w:pPr>
      <w:r>
        <w:rPr>
          <w:rFonts w:asciiTheme="minorBidi" w:hAnsiTheme="minorBidi"/>
          <w:bCs w:val="0"/>
        </w:rPr>
        <w:t>28</w:t>
      </w:r>
      <w:r w:rsidRPr="00C94128">
        <w:rPr>
          <w:rFonts w:asciiTheme="minorBidi" w:hAnsiTheme="minorBidi"/>
          <w:bCs w:val="0"/>
          <w:vertAlign w:val="superscript"/>
        </w:rPr>
        <w:t>e</w:t>
      </w:r>
      <w:r>
        <w:rPr>
          <w:rFonts w:asciiTheme="minorBidi" w:hAnsiTheme="minorBidi"/>
          <w:bCs w:val="0"/>
        </w:rPr>
        <w:t xml:space="preserve"> </w:t>
      </w:r>
      <w:r w:rsidRPr="00D0247F">
        <w:rPr>
          <w:rFonts w:asciiTheme="minorBidi" w:hAnsiTheme="minorBidi"/>
          <w:bCs w:val="0"/>
        </w:rPr>
        <w:t>CONGRÈS</w:t>
      </w:r>
    </w:p>
    <w:p w14:paraId="2AC70B02" w14:textId="77777777" w:rsidR="0031358D" w:rsidRPr="00BE1CFB" w:rsidRDefault="0031358D" w:rsidP="0031358D">
      <w:pPr>
        <w:pBdr>
          <w:bottom w:val="single" w:sz="4" w:space="6" w:color="auto"/>
        </w:pBdr>
        <w:tabs>
          <w:tab w:val="right" w:pos="9639"/>
        </w:tabs>
        <w:jc w:val="both"/>
        <w:rPr>
          <w:rFonts w:cs="Arial"/>
        </w:rPr>
      </w:pPr>
    </w:p>
    <w:p w14:paraId="30FE0280" w14:textId="4380AB83" w:rsidR="0031358D" w:rsidRDefault="0031358D" w:rsidP="0031358D">
      <w:pPr>
        <w:pBdr>
          <w:bottom w:val="single" w:sz="4" w:space="6" w:color="auto"/>
        </w:pBdr>
        <w:tabs>
          <w:tab w:val="right" w:pos="9639"/>
        </w:tabs>
        <w:jc w:val="both"/>
        <w:rPr>
          <w:rFonts w:cs="Arial"/>
          <w:b/>
          <w:sz w:val="36"/>
          <w:szCs w:val="36"/>
        </w:rPr>
      </w:pPr>
      <w:r w:rsidRPr="00D032B2">
        <w:t xml:space="preserve">Convention </w:t>
      </w:r>
      <w:r w:rsidRPr="001F2A1E">
        <w:rPr>
          <w:rFonts w:cs="Arial"/>
        </w:rPr>
        <w:t>–</w:t>
      </w:r>
      <w:r>
        <w:rPr>
          <w:rFonts w:cs="Arial"/>
        </w:rPr>
        <w:t xml:space="preserve"> Proposition</w:t>
      </w:r>
      <w:r>
        <w:rPr>
          <w:rFonts w:cs="Arial"/>
        </w:rPr>
        <w:tab/>
      </w:r>
      <w:r w:rsidRPr="00756B4E">
        <w:rPr>
          <w:rFonts w:eastAsia="Arial" w:cs="Arial"/>
          <w:b/>
          <w:bCs/>
          <w:sz w:val="36"/>
          <w:szCs w:val="36"/>
          <w:lang w:val="fr-CH"/>
        </w:rPr>
        <w:t>20.2.1</w:t>
      </w:r>
    </w:p>
    <w:p w14:paraId="1EA10082" w14:textId="77777777" w:rsidR="0031358D" w:rsidRPr="00DE15FB" w:rsidRDefault="0031358D" w:rsidP="0031358D">
      <w:pPr>
        <w:rPr>
          <w:rFonts w:cs="Arial"/>
        </w:rPr>
      </w:pPr>
    </w:p>
    <w:p w14:paraId="03558D6B" w14:textId="77777777" w:rsidR="001F2A1E" w:rsidRPr="00DE15FB" w:rsidRDefault="001F2A1E" w:rsidP="002927D9">
      <w:pPr>
        <w:jc w:val="both"/>
        <w:rPr>
          <w:rFonts w:cs="Arial"/>
          <w:lang w:val="fr-CH"/>
        </w:rPr>
      </w:pPr>
    </w:p>
    <w:p w14:paraId="041EF773" w14:textId="34887706" w:rsidR="001F2A1E" w:rsidRPr="00DE15FB" w:rsidRDefault="001F2A1E" w:rsidP="002927D9">
      <w:pPr>
        <w:jc w:val="both"/>
        <w:rPr>
          <w:rFonts w:cs="Arial"/>
        </w:rPr>
      </w:pPr>
      <w:r w:rsidRPr="00DE15FB">
        <w:rPr>
          <w:rFonts w:cs="Arial"/>
        </w:rPr>
        <w:t xml:space="preserve">Article </w:t>
      </w:r>
      <w:r w:rsidR="00D032B2">
        <w:rPr>
          <w:rFonts w:cs="Arial"/>
        </w:rPr>
        <w:t>x</w:t>
      </w:r>
    </w:p>
    <w:p w14:paraId="3307A562" w14:textId="77923E81" w:rsidR="001F2A1E" w:rsidRPr="00DE15FB" w:rsidRDefault="006450D9" w:rsidP="002927D9">
      <w:pPr>
        <w:jc w:val="both"/>
        <w:rPr>
          <w:rFonts w:cs="Arial"/>
        </w:rPr>
      </w:pPr>
      <w:r w:rsidRPr="00DE15FB">
        <w:rPr>
          <w:rFonts w:cs="Arial"/>
        </w:rPr>
        <w:t>Titre</w:t>
      </w:r>
      <w:r w:rsidR="00D032B2">
        <w:rPr>
          <w:rFonts w:cs="Arial"/>
        </w:rPr>
        <w:t xml:space="preserve"> de l</w:t>
      </w:r>
      <w:r w:rsidR="007B25DE">
        <w:rPr>
          <w:rFonts w:cs="Arial"/>
        </w:rPr>
        <w:t>’</w:t>
      </w:r>
      <w:r w:rsidR="00D032B2">
        <w:rPr>
          <w:rFonts w:cs="Arial"/>
        </w:rPr>
        <w:t>article</w:t>
      </w:r>
    </w:p>
    <w:p w14:paraId="476079B1" w14:textId="77777777" w:rsidR="001F2A1E" w:rsidRPr="00DE15FB" w:rsidRDefault="001F2A1E" w:rsidP="002927D9">
      <w:pPr>
        <w:jc w:val="both"/>
        <w:rPr>
          <w:rFonts w:cs="Arial"/>
        </w:rPr>
      </w:pPr>
    </w:p>
    <w:p w14:paraId="5B295404" w14:textId="77777777" w:rsidR="001F2A1E" w:rsidRPr="00DE15FB" w:rsidRDefault="001F2A1E" w:rsidP="002927D9">
      <w:pPr>
        <w:jc w:val="both"/>
        <w:rPr>
          <w:rFonts w:cs="Arial"/>
        </w:rPr>
      </w:pPr>
    </w:p>
    <w:p w14:paraId="5981D855" w14:textId="77777777" w:rsidR="00D032B2" w:rsidRPr="00756B4E" w:rsidRDefault="00D032B2" w:rsidP="00D032B2">
      <w:pPr>
        <w:pStyle w:val="Titre1"/>
        <w:ind w:left="0" w:firstLine="0"/>
        <w:rPr>
          <w:b w:val="0"/>
          <w:bCs w:val="0"/>
          <w:lang w:val="fr-CH"/>
        </w:rPr>
      </w:pPr>
      <w:r w:rsidRPr="00756B4E">
        <w:rPr>
          <w:lang w:val="fr-CH"/>
        </w:rPr>
        <w:t>PAYS-MEMBRE</w:t>
      </w:r>
    </w:p>
    <w:p w14:paraId="65550CD8" w14:textId="77777777" w:rsidR="00D032B2" w:rsidRPr="00D032B2" w:rsidRDefault="00D032B2" w:rsidP="00D032B2">
      <w:pPr>
        <w:rPr>
          <w:rFonts w:eastAsia="Arial" w:cs="Arial"/>
          <w:lang w:val="fr-CH"/>
        </w:rPr>
      </w:pPr>
    </w:p>
    <w:p w14:paraId="0ADA9DC1" w14:textId="77777777" w:rsidR="00D032B2" w:rsidRPr="00D032B2" w:rsidRDefault="00D032B2" w:rsidP="00D032B2">
      <w:pPr>
        <w:rPr>
          <w:rFonts w:eastAsia="Arial" w:cs="Arial"/>
          <w:lang w:val="fr-CH"/>
        </w:rPr>
      </w:pPr>
    </w:p>
    <w:p w14:paraId="7FE29C13" w14:textId="77777777" w:rsidR="00D032B2" w:rsidRPr="00756B4E" w:rsidRDefault="00D032B2" w:rsidP="00D032B2">
      <w:pPr>
        <w:pStyle w:val="Corpsdetexte"/>
        <w:spacing w:line="240" w:lineRule="atLeast"/>
        <w:ind w:left="0"/>
        <w:jc w:val="both"/>
        <w:rPr>
          <w:lang w:val="fr-CH"/>
        </w:rPr>
      </w:pPr>
      <w:r w:rsidRPr="00756B4E">
        <w:rPr>
          <w:lang w:val="fr-CH"/>
        </w:rPr>
        <w:t>Modifier le § 1 comme suit et ajouter le § 2</w:t>
      </w:r>
      <w:r w:rsidRPr="00756B4E">
        <w:rPr>
          <w:spacing w:val="-16"/>
          <w:lang w:val="fr-CH"/>
        </w:rPr>
        <w:t xml:space="preserve"> </w:t>
      </w:r>
      <w:proofErr w:type="gramStart"/>
      <w:r w:rsidRPr="00756B4E">
        <w:rPr>
          <w:lang w:val="fr-CH"/>
        </w:rPr>
        <w:t>suivant:</w:t>
      </w:r>
      <w:proofErr w:type="gramEnd"/>
    </w:p>
    <w:p w14:paraId="338A7020" w14:textId="77777777" w:rsidR="00D032B2" w:rsidRPr="00756B4E" w:rsidRDefault="00D032B2" w:rsidP="00D032B2">
      <w:pPr>
        <w:rPr>
          <w:rFonts w:eastAsia="Arial" w:cs="Arial"/>
          <w:sz w:val="21"/>
          <w:szCs w:val="21"/>
          <w:lang w:val="fr-CH"/>
        </w:rPr>
      </w:pPr>
    </w:p>
    <w:p w14:paraId="60FC52C4" w14:textId="21BF7D82" w:rsidR="00D032B2" w:rsidRPr="00756B4E" w:rsidRDefault="00D032B2" w:rsidP="0031358D">
      <w:pPr>
        <w:pStyle w:val="Paragraphedeliste"/>
        <w:spacing w:line="240" w:lineRule="atLeast"/>
        <w:jc w:val="both"/>
        <w:rPr>
          <w:rFonts w:ascii="Arial" w:eastAsia="Arial" w:hAnsi="Arial" w:cs="Arial"/>
          <w:sz w:val="20"/>
          <w:szCs w:val="20"/>
          <w:lang w:val="fr-CH"/>
        </w:rPr>
      </w:pPr>
      <w:r w:rsidRPr="007B25DE">
        <w:rPr>
          <w:rFonts w:ascii="Arial" w:eastAsia="Arial" w:hAnsi="Arial" w:cs="Arial"/>
          <w:spacing w:val="-2"/>
          <w:sz w:val="20"/>
          <w:szCs w:val="20"/>
          <w:lang w:val="fr-CH"/>
        </w:rPr>
        <w:t>1.</w:t>
      </w:r>
      <w:r w:rsidRPr="007B25DE">
        <w:rPr>
          <w:rFonts w:ascii="Arial" w:eastAsia="Arial" w:hAnsi="Arial" w:cs="Arial"/>
          <w:spacing w:val="-2"/>
          <w:sz w:val="20"/>
          <w:szCs w:val="20"/>
          <w:lang w:val="fr-CH"/>
        </w:rPr>
        <w:tab/>
        <w:t>Les Pays-membres notifient au Bureau international, dans les quatre mois suivant la clôture du Congrès</w:t>
      </w:r>
      <w:r w:rsidRPr="00756B4E">
        <w:rPr>
          <w:rFonts w:ascii="Arial" w:eastAsia="Arial" w:hAnsi="Arial" w:cs="Arial"/>
          <w:sz w:val="20"/>
          <w:szCs w:val="20"/>
          <w:lang w:val="fr-CH"/>
        </w:rPr>
        <w:t>,</w:t>
      </w:r>
      <w:r w:rsidRPr="00756B4E">
        <w:rPr>
          <w:rFonts w:ascii="Arial" w:eastAsia="Arial" w:hAnsi="Arial" w:cs="Arial"/>
          <w:w w:val="99"/>
          <w:sz w:val="20"/>
          <w:szCs w:val="2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>le nom et l</w:t>
      </w:r>
      <w:r w:rsidR="007B25DE">
        <w:rPr>
          <w:rFonts w:ascii="Arial" w:eastAsia="Arial" w:hAnsi="Arial" w:cs="Arial"/>
          <w:sz w:val="20"/>
          <w:szCs w:val="20"/>
          <w:lang w:val="fr-CH"/>
        </w:rPr>
        <w:t>’</w:t>
      </w:r>
      <w:r w:rsidRPr="00756B4E">
        <w:rPr>
          <w:rFonts w:ascii="Arial" w:eastAsia="Arial" w:hAnsi="Arial" w:cs="Arial"/>
          <w:sz w:val="20"/>
          <w:szCs w:val="20"/>
          <w:lang w:val="fr-CH"/>
        </w:rPr>
        <w:t>adresse de l</w:t>
      </w:r>
      <w:r w:rsidR="007B25DE">
        <w:rPr>
          <w:rFonts w:ascii="Arial" w:eastAsia="Arial" w:hAnsi="Arial" w:cs="Arial"/>
          <w:sz w:val="20"/>
          <w:szCs w:val="20"/>
          <w:lang w:val="fr-CH"/>
        </w:rPr>
        <w:t>’</w:t>
      </w:r>
      <w:r w:rsidRPr="00756B4E">
        <w:rPr>
          <w:rFonts w:ascii="Arial" w:eastAsia="Arial" w:hAnsi="Arial" w:cs="Arial"/>
          <w:sz w:val="20"/>
          <w:szCs w:val="20"/>
          <w:lang w:val="fr-CH"/>
        </w:rPr>
        <w:t>organe gouvernemental chargé de superviser les affaires postales. En outre,</w:t>
      </w:r>
      <w:r w:rsidRPr="00756B4E">
        <w:rPr>
          <w:rFonts w:ascii="Arial" w:eastAsia="Arial" w:hAnsi="Arial" w:cs="Arial"/>
          <w:spacing w:val="-22"/>
          <w:sz w:val="20"/>
          <w:szCs w:val="2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>les Pays</w:t>
      </w:r>
      <w:r w:rsidR="0031358D">
        <w:rPr>
          <w:rFonts w:ascii="Arial" w:eastAsia="Arial" w:hAnsi="Arial" w:cs="Arial"/>
          <w:sz w:val="20"/>
          <w:szCs w:val="20"/>
          <w:lang w:val="fr-CH"/>
        </w:rPr>
        <w:t>-</w:t>
      </w:r>
      <w:r w:rsidRPr="00756B4E">
        <w:rPr>
          <w:rFonts w:ascii="Arial" w:eastAsia="Arial" w:hAnsi="Arial" w:cs="Arial"/>
          <w:sz w:val="20"/>
          <w:szCs w:val="20"/>
          <w:lang w:val="fr-CH"/>
        </w:rPr>
        <w:t>membres communiquent au Bureau international, dans les six mois suivant la clôture du Congrès,</w:t>
      </w:r>
      <w:r w:rsidRPr="00756B4E">
        <w:rPr>
          <w:rFonts w:ascii="Arial" w:eastAsia="Arial" w:hAnsi="Arial" w:cs="Arial"/>
          <w:spacing w:val="-27"/>
          <w:sz w:val="20"/>
          <w:szCs w:val="2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>le nom et l</w:t>
      </w:r>
      <w:r w:rsidR="007B25DE">
        <w:rPr>
          <w:rFonts w:ascii="Arial" w:eastAsia="Arial" w:hAnsi="Arial" w:cs="Arial"/>
          <w:sz w:val="20"/>
          <w:szCs w:val="20"/>
          <w:lang w:val="fr-CH"/>
        </w:rPr>
        <w:t>’</w:t>
      </w:r>
      <w:r w:rsidRPr="00756B4E">
        <w:rPr>
          <w:rFonts w:ascii="Arial" w:eastAsia="Arial" w:hAnsi="Arial" w:cs="Arial"/>
          <w:sz w:val="20"/>
          <w:szCs w:val="20"/>
          <w:lang w:val="fr-CH"/>
        </w:rPr>
        <w:t>adresse du ou des opérateurs désignés officiellement pour assurer l</w:t>
      </w:r>
      <w:r w:rsidR="007B25DE">
        <w:rPr>
          <w:rFonts w:ascii="Arial" w:eastAsia="Arial" w:hAnsi="Arial" w:cs="Arial"/>
          <w:sz w:val="20"/>
          <w:szCs w:val="20"/>
          <w:lang w:val="fr-CH"/>
        </w:rPr>
        <w:t>’</w:t>
      </w:r>
      <w:r w:rsidRPr="00756B4E">
        <w:rPr>
          <w:rFonts w:ascii="Arial" w:eastAsia="Arial" w:hAnsi="Arial" w:cs="Arial"/>
          <w:sz w:val="20"/>
          <w:szCs w:val="20"/>
          <w:lang w:val="fr-CH"/>
        </w:rPr>
        <w:t>exploitation des</w:t>
      </w:r>
      <w:r w:rsidRPr="00756B4E">
        <w:rPr>
          <w:rFonts w:ascii="Arial" w:eastAsia="Arial" w:hAnsi="Arial" w:cs="Arial"/>
          <w:spacing w:val="-18"/>
          <w:sz w:val="20"/>
          <w:szCs w:val="2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>services postaux et rem</w:t>
      </w:r>
      <w:r w:rsidR="007B25DE">
        <w:rPr>
          <w:rFonts w:ascii="Arial" w:eastAsia="Arial" w:hAnsi="Arial" w:cs="Arial"/>
          <w:sz w:val="20"/>
          <w:szCs w:val="20"/>
          <w:lang w:val="fr-CH"/>
        </w:rPr>
        <w:softHyphen/>
      </w:r>
      <w:r w:rsidRPr="00756B4E">
        <w:rPr>
          <w:rFonts w:ascii="Arial" w:eastAsia="Arial" w:hAnsi="Arial" w:cs="Arial"/>
          <w:sz w:val="20"/>
          <w:szCs w:val="20"/>
          <w:lang w:val="fr-CH"/>
        </w:rPr>
        <w:t>plir les obligations découlant des Actes de l</w:t>
      </w:r>
      <w:r w:rsidR="007B25DE">
        <w:rPr>
          <w:rFonts w:ascii="Arial" w:eastAsia="Arial" w:hAnsi="Arial" w:cs="Arial"/>
          <w:sz w:val="20"/>
          <w:szCs w:val="20"/>
          <w:lang w:val="fr-CH"/>
        </w:rPr>
        <w:t>’</w:t>
      </w:r>
      <w:r w:rsidRPr="00756B4E">
        <w:rPr>
          <w:rFonts w:ascii="Arial" w:eastAsia="Arial" w:hAnsi="Arial" w:cs="Arial"/>
          <w:sz w:val="20"/>
          <w:szCs w:val="20"/>
          <w:lang w:val="fr-CH"/>
        </w:rPr>
        <w:t>Union sur son ou leurs territoires. Entre</w:t>
      </w:r>
      <w:r w:rsidRPr="00756B4E">
        <w:rPr>
          <w:rFonts w:ascii="Arial" w:eastAsia="Arial" w:hAnsi="Arial" w:cs="Arial"/>
          <w:spacing w:val="-22"/>
          <w:sz w:val="20"/>
          <w:szCs w:val="2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 xml:space="preserve">deux Congrès, </w:t>
      </w:r>
      <w:r w:rsidRPr="00756B4E">
        <w:rPr>
          <w:rFonts w:ascii="Arial" w:eastAsia="Arial" w:hAnsi="Arial" w:cs="Arial"/>
          <w:sz w:val="20"/>
          <w:szCs w:val="20"/>
          <w:u w:val="single" w:color="000000"/>
          <w:lang w:val="fr-CH"/>
        </w:rPr>
        <w:t>les Pays-membres informent le Bureau international de</w:t>
      </w:r>
      <w:r w:rsidRPr="00D032B2">
        <w:rPr>
          <w:rFonts w:ascii="Arial" w:eastAsia="Arial" w:hAnsi="Arial" w:cs="Arial"/>
          <w:sz w:val="20"/>
          <w:szCs w:val="20"/>
          <w:u w:color="00000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>tout changement concernant les</w:t>
      </w:r>
      <w:r w:rsidRPr="00756B4E">
        <w:rPr>
          <w:rFonts w:ascii="Arial" w:eastAsia="Arial" w:hAnsi="Arial" w:cs="Arial"/>
          <w:spacing w:val="-26"/>
          <w:sz w:val="20"/>
          <w:szCs w:val="2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 xml:space="preserve">organes gouvernementaux </w:t>
      </w:r>
      <w:r w:rsidRPr="00756B4E">
        <w:rPr>
          <w:rFonts w:ascii="Arial" w:eastAsia="Arial" w:hAnsi="Arial" w:cs="Arial"/>
          <w:strike/>
          <w:sz w:val="20"/>
          <w:szCs w:val="20"/>
          <w:lang w:val="fr-CH"/>
        </w:rPr>
        <w:t>et</w:t>
      </w:r>
      <w:r w:rsidRPr="00D032B2">
        <w:rPr>
          <w:rFonts w:ascii="Arial" w:eastAsia="Arial" w:hAnsi="Arial" w:cs="Arial"/>
          <w:sz w:val="20"/>
          <w:szCs w:val="2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u w:val="single" w:color="000000"/>
          <w:lang w:val="fr-CH"/>
        </w:rPr>
        <w:t>dans les meilleurs délais. Tout changement concernant</w:t>
      </w:r>
      <w:r w:rsidRPr="00D032B2">
        <w:rPr>
          <w:rFonts w:ascii="Arial" w:eastAsia="Arial" w:hAnsi="Arial" w:cs="Arial"/>
          <w:sz w:val="20"/>
          <w:szCs w:val="20"/>
          <w:u w:color="00000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>les opérateurs</w:t>
      </w:r>
      <w:r w:rsidRPr="00756B4E">
        <w:rPr>
          <w:rFonts w:ascii="Arial" w:eastAsia="Arial" w:hAnsi="Arial" w:cs="Arial"/>
          <w:spacing w:val="-18"/>
          <w:sz w:val="20"/>
          <w:szCs w:val="2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 xml:space="preserve">désignés officiellement doit </w:t>
      </w:r>
      <w:r w:rsidRPr="00756B4E">
        <w:rPr>
          <w:rFonts w:ascii="Arial" w:eastAsia="Arial" w:hAnsi="Arial" w:cs="Arial"/>
          <w:sz w:val="20"/>
          <w:szCs w:val="20"/>
          <w:u w:val="single" w:color="000000"/>
          <w:lang w:val="fr-CH"/>
        </w:rPr>
        <w:t>également</w:t>
      </w:r>
      <w:r w:rsidRPr="00D032B2">
        <w:rPr>
          <w:rFonts w:ascii="Arial" w:eastAsia="Arial" w:hAnsi="Arial" w:cs="Arial"/>
          <w:sz w:val="20"/>
          <w:szCs w:val="20"/>
          <w:u w:color="00000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lang w:val="fr-CH"/>
        </w:rPr>
        <w:t>être notifié au Bureau international dans les meilleurs délais</w:t>
      </w:r>
      <w:r w:rsidRPr="00756B4E">
        <w:rPr>
          <w:rFonts w:ascii="Arial" w:eastAsia="Arial" w:hAnsi="Arial" w:cs="Arial"/>
          <w:sz w:val="20"/>
          <w:szCs w:val="20"/>
          <w:u w:val="single" w:color="000000"/>
          <w:lang w:val="fr-CH"/>
        </w:rPr>
        <w:t>, et de</w:t>
      </w:r>
      <w:r w:rsidRPr="00756B4E">
        <w:rPr>
          <w:rFonts w:ascii="Arial" w:eastAsia="Arial" w:hAnsi="Arial" w:cs="Arial"/>
          <w:spacing w:val="-25"/>
          <w:sz w:val="20"/>
          <w:szCs w:val="20"/>
          <w:u w:val="single" w:color="00000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u w:val="single" w:color="000000"/>
          <w:lang w:val="fr-CH"/>
        </w:rPr>
        <w:t>préférence au moins trois mois avant l</w:t>
      </w:r>
      <w:r w:rsidR="007B25DE">
        <w:rPr>
          <w:rFonts w:ascii="Arial" w:eastAsia="Arial" w:hAnsi="Arial" w:cs="Arial"/>
          <w:sz w:val="20"/>
          <w:szCs w:val="20"/>
          <w:u w:val="single" w:color="000000"/>
          <w:lang w:val="fr-CH"/>
        </w:rPr>
        <w:t>’</w:t>
      </w:r>
      <w:r w:rsidRPr="00756B4E">
        <w:rPr>
          <w:rFonts w:ascii="Arial" w:eastAsia="Arial" w:hAnsi="Arial" w:cs="Arial"/>
          <w:sz w:val="20"/>
          <w:szCs w:val="20"/>
          <w:u w:val="single" w:color="000000"/>
          <w:lang w:val="fr-CH"/>
        </w:rPr>
        <w:t>en</w:t>
      </w:r>
      <w:r w:rsidR="007B25DE">
        <w:rPr>
          <w:rFonts w:ascii="Arial" w:eastAsia="Arial" w:hAnsi="Arial" w:cs="Arial"/>
          <w:sz w:val="20"/>
          <w:szCs w:val="20"/>
          <w:u w:val="single" w:color="000000"/>
          <w:lang w:val="fr-CH"/>
        </w:rPr>
        <w:softHyphen/>
      </w:r>
      <w:r w:rsidRPr="00756B4E">
        <w:rPr>
          <w:rFonts w:ascii="Arial" w:eastAsia="Arial" w:hAnsi="Arial" w:cs="Arial"/>
          <w:sz w:val="20"/>
          <w:szCs w:val="20"/>
          <w:u w:val="single" w:color="000000"/>
          <w:lang w:val="fr-CH"/>
        </w:rPr>
        <w:t>trée en vigueur du</w:t>
      </w:r>
      <w:r w:rsidRPr="00756B4E">
        <w:rPr>
          <w:rFonts w:ascii="Arial" w:eastAsia="Arial" w:hAnsi="Arial" w:cs="Arial"/>
          <w:spacing w:val="-3"/>
          <w:sz w:val="20"/>
          <w:szCs w:val="20"/>
          <w:u w:val="single" w:color="000000"/>
          <w:lang w:val="fr-CH"/>
        </w:rPr>
        <w:t xml:space="preserve"> </w:t>
      </w:r>
      <w:r w:rsidRPr="00756B4E">
        <w:rPr>
          <w:rFonts w:ascii="Arial" w:eastAsia="Arial" w:hAnsi="Arial" w:cs="Arial"/>
          <w:sz w:val="20"/>
          <w:szCs w:val="20"/>
          <w:u w:val="single" w:color="000000"/>
          <w:lang w:val="fr-CH"/>
        </w:rPr>
        <w:t>changement</w:t>
      </w:r>
      <w:r w:rsidRPr="00756B4E">
        <w:rPr>
          <w:rFonts w:ascii="Arial" w:eastAsia="Arial" w:hAnsi="Arial" w:cs="Arial"/>
          <w:sz w:val="20"/>
          <w:szCs w:val="20"/>
          <w:lang w:val="fr-CH"/>
        </w:rPr>
        <w:t>.</w:t>
      </w:r>
    </w:p>
    <w:p w14:paraId="4B000C8F" w14:textId="77777777" w:rsidR="00D032B2" w:rsidRPr="0031358D" w:rsidRDefault="00D032B2" w:rsidP="00D032B2">
      <w:pPr>
        <w:rPr>
          <w:rFonts w:eastAsia="Arial" w:cs="Arial"/>
          <w:lang w:val="fr-CH"/>
        </w:rPr>
      </w:pPr>
    </w:p>
    <w:p w14:paraId="05AF2384" w14:textId="40ECE33B" w:rsidR="00EF4F73" w:rsidRPr="00D032B2" w:rsidRDefault="00D032B2" w:rsidP="00D032B2">
      <w:pPr>
        <w:jc w:val="both"/>
        <w:rPr>
          <w:u w:val="single"/>
          <w:lang w:val="fr-CH"/>
        </w:rPr>
      </w:pPr>
      <w:r w:rsidRPr="00D032B2">
        <w:rPr>
          <w:u w:val="single"/>
          <w:lang w:val="fr-CH"/>
        </w:rPr>
        <w:t>2.</w:t>
      </w:r>
      <w:r w:rsidRPr="00D032B2">
        <w:rPr>
          <w:u w:val="single"/>
          <w:lang w:val="fr-CH"/>
        </w:rPr>
        <w:tab/>
        <w:t>Lorsqu</w:t>
      </w:r>
      <w:r w:rsidR="007B25DE">
        <w:rPr>
          <w:u w:val="single"/>
          <w:lang w:val="fr-CH"/>
        </w:rPr>
        <w:t>’</w:t>
      </w:r>
      <w:r w:rsidRPr="00D032B2">
        <w:rPr>
          <w:u w:val="single"/>
          <w:lang w:val="fr-CH"/>
        </w:rPr>
        <w:t>un Pays-membre désigne officiellement un nouvel opérateur, il indique la portée des services postaux qui seront assurés par cet opérateur au titre des Actes de l</w:t>
      </w:r>
      <w:r w:rsidR="007B25DE">
        <w:rPr>
          <w:u w:val="single"/>
          <w:lang w:val="fr-CH"/>
        </w:rPr>
        <w:t>’</w:t>
      </w:r>
      <w:r w:rsidRPr="00D032B2">
        <w:rPr>
          <w:u w:val="single"/>
          <w:lang w:val="fr-CH"/>
        </w:rPr>
        <w:t>Union ainsi que la zone du territoire cou- verte par l</w:t>
      </w:r>
      <w:r w:rsidR="007B25DE">
        <w:rPr>
          <w:u w:val="single"/>
          <w:lang w:val="fr-CH"/>
        </w:rPr>
        <w:t>’</w:t>
      </w:r>
      <w:r w:rsidRPr="00D032B2">
        <w:rPr>
          <w:u w:val="single"/>
          <w:lang w:val="fr-CH"/>
        </w:rPr>
        <w:t>opérateur.</w:t>
      </w:r>
    </w:p>
    <w:p w14:paraId="2AF23919" w14:textId="3260E1B4" w:rsidR="00EF4F73" w:rsidRDefault="00EF4F73" w:rsidP="00D032B2">
      <w:pPr>
        <w:jc w:val="both"/>
      </w:pPr>
    </w:p>
    <w:p w14:paraId="49BF8058" w14:textId="77777777" w:rsidR="007B25DE" w:rsidRPr="00DE15FB" w:rsidRDefault="007B25DE" w:rsidP="00D032B2">
      <w:pPr>
        <w:jc w:val="both"/>
      </w:pPr>
    </w:p>
    <w:p w14:paraId="61FBE7AF" w14:textId="1EFD39F3" w:rsidR="00D032B2" w:rsidRPr="00756B4E" w:rsidRDefault="00EF4F73" w:rsidP="00D032B2">
      <w:pPr>
        <w:pStyle w:val="Corpsdetexte"/>
        <w:spacing w:line="240" w:lineRule="atLeast"/>
        <w:ind w:left="0"/>
        <w:jc w:val="both"/>
        <w:rPr>
          <w:lang w:val="fr-CH"/>
        </w:rPr>
      </w:pPr>
      <w:r w:rsidRPr="00D032B2">
        <w:rPr>
          <w:b/>
          <w:lang w:val="fr-CH"/>
        </w:rPr>
        <w:t>Motifs. –</w:t>
      </w:r>
      <w:r w:rsidRPr="00D032B2">
        <w:rPr>
          <w:bCs/>
          <w:lang w:val="fr-CH"/>
        </w:rPr>
        <w:t xml:space="preserve"> </w:t>
      </w:r>
      <w:r w:rsidR="00D032B2" w:rsidRPr="00756B4E">
        <w:rPr>
          <w:lang w:val="fr-CH"/>
        </w:rPr>
        <w:t>Cet article prévoit un délai précis pour ce qui est de la notification adressée, après la clôture</w:t>
      </w:r>
      <w:r w:rsidR="00D032B2" w:rsidRPr="00756B4E">
        <w:rPr>
          <w:spacing w:val="-24"/>
          <w:lang w:val="fr-CH"/>
        </w:rPr>
        <w:t xml:space="preserve"> </w:t>
      </w:r>
      <w:r w:rsidR="00D032B2" w:rsidRPr="00756B4E">
        <w:rPr>
          <w:lang w:val="fr-CH"/>
        </w:rPr>
        <w:t>du</w:t>
      </w:r>
      <w:r w:rsidR="00D032B2" w:rsidRPr="00756B4E">
        <w:rPr>
          <w:w w:val="99"/>
          <w:lang w:val="fr-CH"/>
        </w:rPr>
        <w:t xml:space="preserve"> </w:t>
      </w:r>
      <w:r w:rsidR="00D032B2" w:rsidRPr="00756B4E">
        <w:rPr>
          <w:lang w:val="fr-CH"/>
        </w:rPr>
        <w:t>Congrès, par les Pays-membres concernant les organes gouvernementaux et les entités chargées</w:t>
      </w:r>
      <w:r w:rsidR="00D032B2" w:rsidRPr="00756B4E">
        <w:rPr>
          <w:spacing w:val="-17"/>
          <w:lang w:val="fr-CH"/>
        </w:rPr>
        <w:t xml:space="preserve"> </w:t>
      </w:r>
      <w:r w:rsidR="00D032B2" w:rsidRPr="00756B4E">
        <w:rPr>
          <w:lang w:val="fr-CH"/>
        </w:rPr>
        <w:t>de l</w:t>
      </w:r>
      <w:r w:rsidR="007B25DE">
        <w:rPr>
          <w:lang w:val="fr-CH"/>
        </w:rPr>
        <w:t>’</w:t>
      </w:r>
      <w:r w:rsidR="00D032B2" w:rsidRPr="00756B4E">
        <w:rPr>
          <w:lang w:val="fr-CH"/>
        </w:rPr>
        <w:t>exploi</w:t>
      </w:r>
      <w:r w:rsidR="007B25DE">
        <w:rPr>
          <w:lang w:val="fr-CH"/>
        </w:rPr>
        <w:softHyphen/>
      </w:r>
      <w:r w:rsidR="00D032B2" w:rsidRPr="00756B4E">
        <w:rPr>
          <w:lang w:val="fr-CH"/>
        </w:rPr>
        <w:t>tation des services postaux. Cependant, il ne prévoit pas un délai précis pour la notification</w:t>
      </w:r>
      <w:r w:rsidR="00D032B2" w:rsidRPr="00756B4E">
        <w:rPr>
          <w:spacing w:val="-21"/>
          <w:lang w:val="fr-CH"/>
        </w:rPr>
        <w:t xml:space="preserve"> </w:t>
      </w:r>
      <w:r w:rsidR="00D032B2" w:rsidRPr="00756B4E">
        <w:rPr>
          <w:lang w:val="fr-CH"/>
        </w:rPr>
        <w:t>des changements entre deux Congrès. Les Pays-membres informent souvent le Bureau international</w:t>
      </w:r>
      <w:r w:rsidR="00D032B2" w:rsidRPr="00756B4E">
        <w:rPr>
          <w:spacing w:val="-24"/>
          <w:lang w:val="fr-CH"/>
        </w:rPr>
        <w:t xml:space="preserve"> </w:t>
      </w:r>
      <w:r w:rsidR="00D032B2" w:rsidRPr="00756B4E">
        <w:rPr>
          <w:lang w:val="fr-CH"/>
        </w:rPr>
        <w:t>des changements peu avant leur entrée en vigueur, ce qui cause des problèmes à la fois pour le</w:t>
      </w:r>
      <w:r w:rsidR="00D032B2" w:rsidRPr="00756B4E">
        <w:rPr>
          <w:spacing w:val="-18"/>
          <w:lang w:val="fr-CH"/>
        </w:rPr>
        <w:t xml:space="preserve"> </w:t>
      </w:r>
      <w:r w:rsidR="00D032B2" w:rsidRPr="00756B4E">
        <w:rPr>
          <w:lang w:val="fr-CH"/>
        </w:rPr>
        <w:t>nouvel opérateur et pour les autres opérateurs désignés quant aux arrangements nécessaires au niveau</w:t>
      </w:r>
      <w:r w:rsidR="00D032B2" w:rsidRPr="00756B4E">
        <w:rPr>
          <w:spacing w:val="-16"/>
          <w:lang w:val="fr-CH"/>
        </w:rPr>
        <w:t xml:space="preserve"> </w:t>
      </w:r>
      <w:r w:rsidR="00D032B2" w:rsidRPr="00756B4E">
        <w:rPr>
          <w:lang w:val="fr-CH"/>
        </w:rPr>
        <w:t>de l</w:t>
      </w:r>
      <w:r w:rsidR="007B25DE">
        <w:rPr>
          <w:lang w:val="fr-CH"/>
        </w:rPr>
        <w:t>’</w:t>
      </w:r>
      <w:r w:rsidR="00D032B2" w:rsidRPr="00756B4E">
        <w:rPr>
          <w:lang w:val="fr-CH"/>
        </w:rPr>
        <w:t>exploitation.</w:t>
      </w:r>
    </w:p>
    <w:p w14:paraId="17F40995" w14:textId="48925F5A" w:rsidR="00D032B2" w:rsidRPr="00756B4E" w:rsidRDefault="00D032B2" w:rsidP="00D032B2">
      <w:pPr>
        <w:pStyle w:val="Corpsdetexte"/>
        <w:spacing w:line="240" w:lineRule="atLeast"/>
        <w:ind w:left="0"/>
        <w:jc w:val="both"/>
        <w:rPr>
          <w:lang w:val="fr-CH"/>
        </w:rPr>
      </w:pPr>
      <w:r w:rsidRPr="00756B4E">
        <w:rPr>
          <w:lang w:val="fr-CH"/>
        </w:rPr>
        <w:t>Dans certains cas, le nouvel opérateur désigné est uniquement habilité à fournir certains des services</w:t>
      </w:r>
      <w:r w:rsidRPr="00756B4E">
        <w:rPr>
          <w:spacing w:val="-23"/>
          <w:lang w:val="fr-CH"/>
        </w:rPr>
        <w:t xml:space="preserve"> </w:t>
      </w:r>
      <w:r w:rsidRPr="00756B4E">
        <w:rPr>
          <w:lang w:val="fr-CH"/>
        </w:rPr>
        <w:t>de base prévus à l</w:t>
      </w:r>
      <w:r w:rsidR="007B25DE">
        <w:rPr>
          <w:lang w:val="fr-CH"/>
        </w:rPr>
        <w:t>’</w:t>
      </w:r>
      <w:r w:rsidRPr="00756B4E">
        <w:rPr>
          <w:lang w:val="fr-CH"/>
        </w:rPr>
        <w:t>article 16 de la Convention postale universelle ou à fournir des services postaux dans</w:t>
      </w:r>
      <w:r w:rsidRPr="00756B4E">
        <w:rPr>
          <w:spacing w:val="-26"/>
          <w:lang w:val="fr-CH"/>
        </w:rPr>
        <w:t xml:space="preserve"> </w:t>
      </w:r>
      <w:r w:rsidRPr="00756B4E">
        <w:rPr>
          <w:lang w:val="fr-CH"/>
        </w:rPr>
        <w:t>une zone spécifique du territoire du Pays-membre. Or il convient que toutes ces informations soient transmises</w:t>
      </w:r>
      <w:r w:rsidRPr="00756B4E">
        <w:rPr>
          <w:spacing w:val="-32"/>
          <w:lang w:val="fr-CH"/>
        </w:rPr>
        <w:t xml:space="preserve"> </w:t>
      </w:r>
      <w:r w:rsidRPr="00756B4E">
        <w:rPr>
          <w:lang w:val="fr-CH"/>
        </w:rPr>
        <w:t>à l</w:t>
      </w:r>
      <w:r w:rsidR="007B25DE">
        <w:rPr>
          <w:lang w:val="fr-CH"/>
        </w:rPr>
        <w:t>’</w:t>
      </w:r>
      <w:r w:rsidRPr="00756B4E">
        <w:rPr>
          <w:lang w:val="fr-CH"/>
        </w:rPr>
        <w:t>en</w:t>
      </w:r>
      <w:r w:rsidR="007B25DE">
        <w:rPr>
          <w:lang w:val="fr-CH"/>
        </w:rPr>
        <w:softHyphen/>
      </w:r>
      <w:r w:rsidRPr="00756B4E">
        <w:rPr>
          <w:lang w:val="fr-CH"/>
        </w:rPr>
        <w:t>semble des opérateurs désignés en temps opportun par l</w:t>
      </w:r>
      <w:r w:rsidR="007B25DE">
        <w:rPr>
          <w:lang w:val="fr-CH"/>
        </w:rPr>
        <w:t>’</w:t>
      </w:r>
      <w:r w:rsidRPr="00756B4E">
        <w:rPr>
          <w:lang w:val="fr-CH"/>
        </w:rPr>
        <w:t>intermédiaire du Bureau</w:t>
      </w:r>
      <w:r w:rsidRPr="00756B4E">
        <w:rPr>
          <w:spacing w:val="-34"/>
          <w:lang w:val="fr-CH"/>
        </w:rPr>
        <w:t xml:space="preserve"> </w:t>
      </w:r>
      <w:r w:rsidRPr="00756B4E">
        <w:rPr>
          <w:lang w:val="fr-CH"/>
        </w:rPr>
        <w:t>international.</w:t>
      </w:r>
    </w:p>
    <w:p w14:paraId="3A168CA0" w14:textId="77777777" w:rsidR="00282FAD" w:rsidRPr="001F2A1E" w:rsidRDefault="00282FAD" w:rsidP="002927D9">
      <w:pPr>
        <w:jc w:val="both"/>
      </w:pPr>
    </w:p>
    <w:sectPr w:rsidR="00282FAD" w:rsidRPr="001F2A1E" w:rsidSect="00D51519">
      <w:headerReference w:type="even" r:id="rId8"/>
      <w:headerReference w:type="default" r:id="rId9"/>
      <w:headerReference w:type="first" r:id="rId10"/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92911" w14:textId="77777777" w:rsidR="00D032B2" w:rsidRDefault="00D032B2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7D0BB689" w14:textId="77777777" w:rsidR="00D032B2" w:rsidRDefault="00D0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DB0CB" w14:textId="77777777" w:rsidR="00D032B2" w:rsidRDefault="00D032B2" w:rsidP="009E7ADC">
      <w:pPr>
        <w:rPr>
          <w:sz w:val="18"/>
        </w:rPr>
      </w:pPr>
    </w:p>
  </w:footnote>
  <w:footnote w:type="continuationSeparator" w:id="0">
    <w:p w14:paraId="2F5C9D9B" w14:textId="77777777" w:rsidR="00D032B2" w:rsidRPr="00252BCD" w:rsidRDefault="00D032B2" w:rsidP="009E7ADC">
      <w:pPr>
        <w:rPr>
          <w:sz w:val="18"/>
          <w:szCs w:val="18"/>
        </w:rPr>
      </w:pPr>
    </w:p>
  </w:footnote>
  <w:footnote w:type="continuationNotice" w:id="1">
    <w:p w14:paraId="03A6996A" w14:textId="77777777" w:rsidR="00D032B2" w:rsidRPr="00252BCD" w:rsidRDefault="00D032B2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A7F08" w14:textId="77777777" w:rsidR="00527FF5" w:rsidRDefault="00527FF5">
    <w:pPr>
      <w:jc w:val="center"/>
    </w:pPr>
    <w:r>
      <w:pgNum/>
    </w:r>
  </w:p>
  <w:p w14:paraId="00A81932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88BC0" w14:textId="77777777" w:rsidR="00527FF5" w:rsidRDefault="00527FF5" w:rsidP="00F639BA">
    <w:pPr>
      <w:jc w:val="center"/>
    </w:pPr>
    <w:r>
      <w:pgNum/>
    </w:r>
  </w:p>
  <w:p w14:paraId="2C7620C3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DE15FB" w14:paraId="4D172D15" w14:textId="77777777">
      <w:trPr>
        <w:trHeight w:val="1418"/>
      </w:trPr>
      <w:tc>
        <w:tcPr>
          <w:tcW w:w="3119" w:type="dxa"/>
        </w:tcPr>
        <w:p w14:paraId="2603798C" w14:textId="77777777" w:rsidR="00F87364" w:rsidRDefault="00BE08A0" w:rsidP="00AE0D85">
          <w:pPr>
            <w:pStyle w:val="En-tte"/>
            <w:spacing w:before="20" w:after="1180"/>
            <w:rPr>
              <w:rFonts w:ascii="45 Helvetica Light" w:hAnsi="45 Helvetica Light"/>
              <w:sz w:val="18"/>
            </w:rPr>
          </w:pPr>
          <w:r>
            <w:rPr>
              <w:rFonts w:ascii="45 Helvetica Light" w:hAnsi="45 Helvetica Light"/>
              <w:noProof/>
              <w:sz w:val="18"/>
              <w:lang w:val="en-US" w:eastAsia="en-US"/>
            </w:rPr>
            <w:drawing>
              <wp:inline distT="0" distB="0" distL="0" distR="0" wp14:anchorId="5E51B50F" wp14:editId="7F9BE12E">
                <wp:extent cx="1749963" cy="421485"/>
                <wp:effectExtent l="0" t="0" r="317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pu_logotype_1200_fr.bmp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49963" cy="421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2A6EDB6B" w14:textId="34D8AA7A" w:rsidR="00596CAC" w:rsidRDefault="00D032B2" w:rsidP="007E6AB3">
          <w:pPr>
            <w:ind w:right="6"/>
            <w:jc w:val="right"/>
            <w:rPr>
              <w:szCs w:val="24"/>
            </w:rPr>
          </w:pPr>
          <w:r w:rsidRPr="00D032B2">
            <w:rPr>
              <w:szCs w:val="24"/>
            </w:rPr>
            <w:t>Annexe 1 à la lettre 2102(DPRM.PPRE.CCA)</w:t>
          </w:r>
          <w:r w:rsidR="00C903CF">
            <w:rPr>
              <w:szCs w:val="24"/>
            </w:rPr>
            <w:t>1034</w:t>
          </w:r>
        </w:p>
        <w:p w14:paraId="02C4A5BE" w14:textId="4E3410E8" w:rsidR="00282FAD" w:rsidRPr="00DE15FB" w:rsidRDefault="00D032B2" w:rsidP="008B2BBA">
          <w:pPr>
            <w:ind w:right="6"/>
            <w:jc w:val="right"/>
          </w:pPr>
          <w:proofErr w:type="gramStart"/>
          <w:r>
            <w:rPr>
              <w:lang w:val="fr-CH"/>
            </w:rPr>
            <w:t>du</w:t>
          </w:r>
          <w:proofErr w:type="gramEnd"/>
          <w:r w:rsidRPr="00D23045">
            <w:rPr>
              <w:lang w:val="fr-CH"/>
            </w:rPr>
            <w:t xml:space="preserve"> </w:t>
          </w:r>
          <w:r w:rsidR="00C903CF">
            <w:rPr>
              <w:lang w:val="fr-CH"/>
            </w:rPr>
            <w:t>9</w:t>
          </w:r>
          <w:r w:rsidRPr="00D23045">
            <w:rPr>
              <w:lang w:val="fr-CH"/>
            </w:rPr>
            <w:t xml:space="preserve"> avril 2025</w:t>
          </w:r>
        </w:p>
      </w:tc>
    </w:tr>
  </w:tbl>
  <w:p w14:paraId="0D296E47" w14:textId="77777777" w:rsidR="003104EA" w:rsidRPr="002634EB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F55F1"/>
    <w:multiLevelType w:val="singleLevel"/>
    <w:tmpl w:val="995019DE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646A99FA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96D1D20"/>
    <w:multiLevelType w:val="hybridMultilevel"/>
    <w:tmpl w:val="2A686170"/>
    <w:lvl w:ilvl="0" w:tplc="A3100460">
      <w:start w:val="1"/>
      <w:numFmt w:val="decimal"/>
      <w:lvlText w:val="%1."/>
      <w:lvlJc w:val="left"/>
      <w:pPr>
        <w:ind w:left="138" w:hanging="567"/>
      </w:pPr>
      <w:rPr>
        <w:rFonts w:ascii="Arial" w:eastAsia="Arial" w:hAnsi="Arial" w:hint="default"/>
        <w:w w:val="99"/>
        <w:sz w:val="20"/>
        <w:szCs w:val="20"/>
      </w:rPr>
    </w:lvl>
    <w:lvl w:ilvl="1" w:tplc="388E20F4">
      <w:start w:val="1"/>
      <w:numFmt w:val="bullet"/>
      <w:lvlText w:val="•"/>
      <w:lvlJc w:val="left"/>
      <w:pPr>
        <w:ind w:left="1118" w:hanging="567"/>
      </w:pPr>
      <w:rPr>
        <w:rFonts w:hint="default"/>
      </w:rPr>
    </w:lvl>
    <w:lvl w:ilvl="2" w:tplc="B8A8878C">
      <w:start w:val="1"/>
      <w:numFmt w:val="bullet"/>
      <w:lvlText w:val="•"/>
      <w:lvlJc w:val="left"/>
      <w:pPr>
        <w:ind w:left="2097" w:hanging="567"/>
      </w:pPr>
      <w:rPr>
        <w:rFonts w:hint="default"/>
      </w:rPr>
    </w:lvl>
    <w:lvl w:ilvl="3" w:tplc="8572FC5E">
      <w:start w:val="1"/>
      <w:numFmt w:val="bullet"/>
      <w:lvlText w:val="•"/>
      <w:lvlJc w:val="left"/>
      <w:pPr>
        <w:ind w:left="3075" w:hanging="567"/>
      </w:pPr>
      <w:rPr>
        <w:rFonts w:hint="default"/>
      </w:rPr>
    </w:lvl>
    <w:lvl w:ilvl="4" w:tplc="54801530">
      <w:start w:val="1"/>
      <w:numFmt w:val="bullet"/>
      <w:lvlText w:val="•"/>
      <w:lvlJc w:val="left"/>
      <w:pPr>
        <w:ind w:left="4054" w:hanging="567"/>
      </w:pPr>
      <w:rPr>
        <w:rFonts w:hint="default"/>
      </w:rPr>
    </w:lvl>
    <w:lvl w:ilvl="5" w:tplc="55B4668A">
      <w:start w:val="1"/>
      <w:numFmt w:val="bullet"/>
      <w:lvlText w:val="•"/>
      <w:lvlJc w:val="left"/>
      <w:pPr>
        <w:ind w:left="5033" w:hanging="567"/>
      </w:pPr>
      <w:rPr>
        <w:rFonts w:hint="default"/>
      </w:rPr>
    </w:lvl>
    <w:lvl w:ilvl="6" w:tplc="4A2E380A">
      <w:start w:val="1"/>
      <w:numFmt w:val="bullet"/>
      <w:lvlText w:val="•"/>
      <w:lvlJc w:val="left"/>
      <w:pPr>
        <w:ind w:left="6011" w:hanging="567"/>
      </w:pPr>
      <w:rPr>
        <w:rFonts w:hint="default"/>
      </w:rPr>
    </w:lvl>
    <w:lvl w:ilvl="7" w:tplc="3DC64576">
      <w:start w:val="1"/>
      <w:numFmt w:val="bullet"/>
      <w:lvlText w:val="•"/>
      <w:lvlJc w:val="left"/>
      <w:pPr>
        <w:ind w:left="6990" w:hanging="567"/>
      </w:pPr>
      <w:rPr>
        <w:rFonts w:hint="default"/>
      </w:rPr>
    </w:lvl>
    <w:lvl w:ilvl="8" w:tplc="31ACE0A8">
      <w:start w:val="1"/>
      <w:numFmt w:val="bullet"/>
      <w:lvlText w:val="•"/>
      <w:lvlJc w:val="left"/>
      <w:pPr>
        <w:ind w:left="7969" w:hanging="567"/>
      </w:pPr>
      <w:rPr>
        <w:rFonts w:hint="default"/>
      </w:rPr>
    </w:lvl>
  </w:abstractNum>
  <w:abstractNum w:abstractNumId="15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5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6145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2B2"/>
    <w:rsid w:val="00001BCE"/>
    <w:rsid w:val="000021DD"/>
    <w:rsid w:val="00004D2B"/>
    <w:rsid w:val="00011D16"/>
    <w:rsid w:val="00013BF1"/>
    <w:rsid w:val="0002298F"/>
    <w:rsid w:val="00023669"/>
    <w:rsid w:val="00026EC5"/>
    <w:rsid w:val="00030F8D"/>
    <w:rsid w:val="0003101A"/>
    <w:rsid w:val="00033EB1"/>
    <w:rsid w:val="00037CA9"/>
    <w:rsid w:val="000465C9"/>
    <w:rsid w:val="000515AB"/>
    <w:rsid w:val="00053D83"/>
    <w:rsid w:val="000569F6"/>
    <w:rsid w:val="000B24C3"/>
    <w:rsid w:val="000D1BB1"/>
    <w:rsid w:val="000E0AB2"/>
    <w:rsid w:val="000E47EC"/>
    <w:rsid w:val="000F28D7"/>
    <w:rsid w:val="000F2B63"/>
    <w:rsid w:val="001006F4"/>
    <w:rsid w:val="00104F21"/>
    <w:rsid w:val="001059FD"/>
    <w:rsid w:val="0010766D"/>
    <w:rsid w:val="0011269C"/>
    <w:rsid w:val="001153B2"/>
    <w:rsid w:val="00117688"/>
    <w:rsid w:val="00121A6F"/>
    <w:rsid w:val="00135E75"/>
    <w:rsid w:val="00146434"/>
    <w:rsid w:val="001567C5"/>
    <w:rsid w:val="00161F92"/>
    <w:rsid w:val="0017006D"/>
    <w:rsid w:val="00172757"/>
    <w:rsid w:val="00180BA0"/>
    <w:rsid w:val="001813EE"/>
    <w:rsid w:val="001866BB"/>
    <w:rsid w:val="00187F58"/>
    <w:rsid w:val="001A01D9"/>
    <w:rsid w:val="001A4314"/>
    <w:rsid w:val="001A4FA3"/>
    <w:rsid w:val="001E1766"/>
    <w:rsid w:val="001F2A1E"/>
    <w:rsid w:val="001F3C1C"/>
    <w:rsid w:val="00205DD6"/>
    <w:rsid w:val="00220E7B"/>
    <w:rsid w:val="00224D59"/>
    <w:rsid w:val="00225FB4"/>
    <w:rsid w:val="002260B6"/>
    <w:rsid w:val="00232DCA"/>
    <w:rsid w:val="00245E37"/>
    <w:rsid w:val="00252BCD"/>
    <w:rsid w:val="00261EAE"/>
    <w:rsid w:val="002634EB"/>
    <w:rsid w:val="0026706D"/>
    <w:rsid w:val="00272937"/>
    <w:rsid w:val="002804ED"/>
    <w:rsid w:val="00282124"/>
    <w:rsid w:val="00282FAD"/>
    <w:rsid w:val="0029168C"/>
    <w:rsid w:val="002927D9"/>
    <w:rsid w:val="002A3142"/>
    <w:rsid w:val="002A663B"/>
    <w:rsid w:val="002B1B7A"/>
    <w:rsid w:val="002B2A67"/>
    <w:rsid w:val="002B66E8"/>
    <w:rsid w:val="002C3576"/>
    <w:rsid w:val="002C7247"/>
    <w:rsid w:val="002D0A7D"/>
    <w:rsid w:val="002F15C2"/>
    <w:rsid w:val="002F7773"/>
    <w:rsid w:val="003002DC"/>
    <w:rsid w:val="003104EA"/>
    <w:rsid w:val="003118BD"/>
    <w:rsid w:val="00312FCB"/>
    <w:rsid w:val="0031358D"/>
    <w:rsid w:val="00313FF0"/>
    <w:rsid w:val="00325076"/>
    <w:rsid w:val="00325132"/>
    <w:rsid w:val="00331C6E"/>
    <w:rsid w:val="003400DD"/>
    <w:rsid w:val="003405FB"/>
    <w:rsid w:val="003407BC"/>
    <w:rsid w:val="00342CD6"/>
    <w:rsid w:val="00343FF6"/>
    <w:rsid w:val="0035401F"/>
    <w:rsid w:val="00355163"/>
    <w:rsid w:val="00361DE6"/>
    <w:rsid w:val="00372B67"/>
    <w:rsid w:val="0037420A"/>
    <w:rsid w:val="003750AE"/>
    <w:rsid w:val="00376861"/>
    <w:rsid w:val="0038028F"/>
    <w:rsid w:val="00383605"/>
    <w:rsid w:val="003B1F46"/>
    <w:rsid w:val="00400559"/>
    <w:rsid w:val="00422F57"/>
    <w:rsid w:val="004328E8"/>
    <w:rsid w:val="00436DF0"/>
    <w:rsid w:val="00456278"/>
    <w:rsid w:val="0046077D"/>
    <w:rsid w:val="004611D5"/>
    <w:rsid w:val="0046173F"/>
    <w:rsid w:val="00470E29"/>
    <w:rsid w:val="00471CE5"/>
    <w:rsid w:val="004778E4"/>
    <w:rsid w:val="00482982"/>
    <w:rsid w:val="004A31FB"/>
    <w:rsid w:val="004A6F3C"/>
    <w:rsid w:val="004B2F01"/>
    <w:rsid w:val="004B6CE1"/>
    <w:rsid w:val="004C4EBF"/>
    <w:rsid w:val="004C6BEE"/>
    <w:rsid w:val="004D03CA"/>
    <w:rsid w:val="004D221E"/>
    <w:rsid w:val="004D2DA6"/>
    <w:rsid w:val="004E05F3"/>
    <w:rsid w:val="004E18F7"/>
    <w:rsid w:val="004E1F28"/>
    <w:rsid w:val="004E2B3B"/>
    <w:rsid w:val="004E3386"/>
    <w:rsid w:val="004E44D9"/>
    <w:rsid w:val="004E63E4"/>
    <w:rsid w:val="00501293"/>
    <w:rsid w:val="0051701F"/>
    <w:rsid w:val="00527FF5"/>
    <w:rsid w:val="005301DA"/>
    <w:rsid w:val="00530B02"/>
    <w:rsid w:val="005345AF"/>
    <w:rsid w:val="00536401"/>
    <w:rsid w:val="00563AF2"/>
    <w:rsid w:val="00565476"/>
    <w:rsid w:val="00570EDB"/>
    <w:rsid w:val="00571491"/>
    <w:rsid w:val="005749CB"/>
    <w:rsid w:val="00577828"/>
    <w:rsid w:val="00590BBB"/>
    <w:rsid w:val="00596CAC"/>
    <w:rsid w:val="005A004A"/>
    <w:rsid w:val="005A1FD5"/>
    <w:rsid w:val="005B20C7"/>
    <w:rsid w:val="005C2838"/>
    <w:rsid w:val="005C6B19"/>
    <w:rsid w:val="005D36DD"/>
    <w:rsid w:val="005D36F8"/>
    <w:rsid w:val="005D42B3"/>
    <w:rsid w:val="005D42D7"/>
    <w:rsid w:val="005D7F27"/>
    <w:rsid w:val="005E31B8"/>
    <w:rsid w:val="005E5DC2"/>
    <w:rsid w:val="005F0892"/>
    <w:rsid w:val="005F4A1C"/>
    <w:rsid w:val="005F6DB0"/>
    <w:rsid w:val="00635A0F"/>
    <w:rsid w:val="00637585"/>
    <w:rsid w:val="00643F80"/>
    <w:rsid w:val="006450D9"/>
    <w:rsid w:val="00653717"/>
    <w:rsid w:val="00653FFD"/>
    <w:rsid w:val="00654B91"/>
    <w:rsid w:val="00656A8B"/>
    <w:rsid w:val="00670279"/>
    <w:rsid w:val="006724B1"/>
    <w:rsid w:val="006A79AB"/>
    <w:rsid w:val="006B1882"/>
    <w:rsid w:val="006C019C"/>
    <w:rsid w:val="006C47EF"/>
    <w:rsid w:val="006D5D8D"/>
    <w:rsid w:val="006E36B1"/>
    <w:rsid w:val="00717D08"/>
    <w:rsid w:val="00720B52"/>
    <w:rsid w:val="00726FC7"/>
    <w:rsid w:val="00741C06"/>
    <w:rsid w:val="00756C4A"/>
    <w:rsid w:val="00757BB9"/>
    <w:rsid w:val="00761DEC"/>
    <w:rsid w:val="0076291C"/>
    <w:rsid w:val="00765B70"/>
    <w:rsid w:val="00766863"/>
    <w:rsid w:val="0077177C"/>
    <w:rsid w:val="0077420D"/>
    <w:rsid w:val="00780CBD"/>
    <w:rsid w:val="00783C7C"/>
    <w:rsid w:val="007A2839"/>
    <w:rsid w:val="007B25DE"/>
    <w:rsid w:val="007B6036"/>
    <w:rsid w:val="007B7282"/>
    <w:rsid w:val="007C679A"/>
    <w:rsid w:val="007D07CD"/>
    <w:rsid w:val="007D2933"/>
    <w:rsid w:val="007D2C3C"/>
    <w:rsid w:val="007D6956"/>
    <w:rsid w:val="007E0A42"/>
    <w:rsid w:val="007E6319"/>
    <w:rsid w:val="007E6AB3"/>
    <w:rsid w:val="007F2C2F"/>
    <w:rsid w:val="007F6E68"/>
    <w:rsid w:val="00824DCB"/>
    <w:rsid w:val="00827067"/>
    <w:rsid w:val="00840B98"/>
    <w:rsid w:val="00843281"/>
    <w:rsid w:val="00857B50"/>
    <w:rsid w:val="00866369"/>
    <w:rsid w:val="0087570D"/>
    <w:rsid w:val="00894CD8"/>
    <w:rsid w:val="00897E26"/>
    <w:rsid w:val="008A32BB"/>
    <w:rsid w:val="008A5A68"/>
    <w:rsid w:val="008B2BBA"/>
    <w:rsid w:val="008B73C0"/>
    <w:rsid w:val="008B7E25"/>
    <w:rsid w:val="008C6FD6"/>
    <w:rsid w:val="008D1703"/>
    <w:rsid w:val="008D3810"/>
    <w:rsid w:val="008D4F34"/>
    <w:rsid w:val="008D58D7"/>
    <w:rsid w:val="008E54AA"/>
    <w:rsid w:val="008E7619"/>
    <w:rsid w:val="008F12A9"/>
    <w:rsid w:val="008F1500"/>
    <w:rsid w:val="00902B9B"/>
    <w:rsid w:val="0091074C"/>
    <w:rsid w:val="0091195A"/>
    <w:rsid w:val="00911ADC"/>
    <w:rsid w:val="00922952"/>
    <w:rsid w:val="009277A6"/>
    <w:rsid w:val="00932DC4"/>
    <w:rsid w:val="009434D3"/>
    <w:rsid w:val="009569DE"/>
    <w:rsid w:val="00957FCD"/>
    <w:rsid w:val="00962700"/>
    <w:rsid w:val="00974119"/>
    <w:rsid w:val="00981DFD"/>
    <w:rsid w:val="009B1706"/>
    <w:rsid w:val="009B449A"/>
    <w:rsid w:val="009B7D50"/>
    <w:rsid w:val="009C0330"/>
    <w:rsid w:val="009C5BD0"/>
    <w:rsid w:val="009D77AD"/>
    <w:rsid w:val="009E0D7D"/>
    <w:rsid w:val="009E7ADC"/>
    <w:rsid w:val="009F110E"/>
    <w:rsid w:val="009F36E2"/>
    <w:rsid w:val="009F536D"/>
    <w:rsid w:val="00A06C89"/>
    <w:rsid w:val="00A154C7"/>
    <w:rsid w:val="00A25C72"/>
    <w:rsid w:val="00A418A0"/>
    <w:rsid w:val="00A455D1"/>
    <w:rsid w:val="00A53E1E"/>
    <w:rsid w:val="00A5792F"/>
    <w:rsid w:val="00A61B34"/>
    <w:rsid w:val="00A6703E"/>
    <w:rsid w:val="00A73891"/>
    <w:rsid w:val="00A75491"/>
    <w:rsid w:val="00A809D7"/>
    <w:rsid w:val="00A87BD9"/>
    <w:rsid w:val="00A92377"/>
    <w:rsid w:val="00A95A08"/>
    <w:rsid w:val="00AA01D2"/>
    <w:rsid w:val="00AA61ED"/>
    <w:rsid w:val="00AA7A6C"/>
    <w:rsid w:val="00AB1373"/>
    <w:rsid w:val="00AB7653"/>
    <w:rsid w:val="00AC2359"/>
    <w:rsid w:val="00AE0D85"/>
    <w:rsid w:val="00AE2BF2"/>
    <w:rsid w:val="00B00E3F"/>
    <w:rsid w:val="00B010D9"/>
    <w:rsid w:val="00B03B65"/>
    <w:rsid w:val="00B11447"/>
    <w:rsid w:val="00B1711E"/>
    <w:rsid w:val="00B262DA"/>
    <w:rsid w:val="00B30CB2"/>
    <w:rsid w:val="00B34A9C"/>
    <w:rsid w:val="00B40E14"/>
    <w:rsid w:val="00B458DD"/>
    <w:rsid w:val="00B66146"/>
    <w:rsid w:val="00B7190D"/>
    <w:rsid w:val="00B838AD"/>
    <w:rsid w:val="00B84086"/>
    <w:rsid w:val="00B86608"/>
    <w:rsid w:val="00B9612E"/>
    <w:rsid w:val="00BA404F"/>
    <w:rsid w:val="00BA4CFB"/>
    <w:rsid w:val="00BB3ACD"/>
    <w:rsid w:val="00BB728D"/>
    <w:rsid w:val="00BC0807"/>
    <w:rsid w:val="00BC1442"/>
    <w:rsid w:val="00BC4919"/>
    <w:rsid w:val="00BC507E"/>
    <w:rsid w:val="00BD69A4"/>
    <w:rsid w:val="00BE08A0"/>
    <w:rsid w:val="00BE1CFB"/>
    <w:rsid w:val="00BF2822"/>
    <w:rsid w:val="00BF2F28"/>
    <w:rsid w:val="00BF5B9E"/>
    <w:rsid w:val="00C03767"/>
    <w:rsid w:val="00C0653D"/>
    <w:rsid w:val="00C06D24"/>
    <w:rsid w:val="00C14017"/>
    <w:rsid w:val="00C17350"/>
    <w:rsid w:val="00C20407"/>
    <w:rsid w:val="00C21452"/>
    <w:rsid w:val="00C21508"/>
    <w:rsid w:val="00C26A48"/>
    <w:rsid w:val="00C2769E"/>
    <w:rsid w:val="00C35110"/>
    <w:rsid w:val="00C402AE"/>
    <w:rsid w:val="00C74B88"/>
    <w:rsid w:val="00C903B8"/>
    <w:rsid w:val="00C903CF"/>
    <w:rsid w:val="00C91301"/>
    <w:rsid w:val="00C91C2F"/>
    <w:rsid w:val="00CA3298"/>
    <w:rsid w:val="00CA3D20"/>
    <w:rsid w:val="00CB2C5B"/>
    <w:rsid w:val="00CB2FA6"/>
    <w:rsid w:val="00CC0402"/>
    <w:rsid w:val="00CC3161"/>
    <w:rsid w:val="00CC7367"/>
    <w:rsid w:val="00CD03E7"/>
    <w:rsid w:val="00CE2270"/>
    <w:rsid w:val="00CF4D34"/>
    <w:rsid w:val="00D032B2"/>
    <w:rsid w:val="00D154F8"/>
    <w:rsid w:val="00D15C79"/>
    <w:rsid w:val="00D257AF"/>
    <w:rsid w:val="00D3589B"/>
    <w:rsid w:val="00D45FE5"/>
    <w:rsid w:val="00D50254"/>
    <w:rsid w:val="00D51519"/>
    <w:rsid w:val="00D61B31"/>
    <w:rsid w:val="00D64064"/>
    <w:rsid w:val="00D73262"/>
    <w:rsid w:val="00D73A0A"/>
    <w:rsid w:val="00DA49AB"/>
    <w:rsid w:val="00DA646A"/>
    <w:rsid w:val="00DB6FCB"/>
    <w:rsid w:val="00DB7EC0"/>
    <w:rsid w:val="00DC4D86"/>
    <w:rsid w:val="00DD24C3"/>
    <w:rsid w:val="00DD2FAA"/>
    <w:rsid w:val="00DE15FB"/>
    <w:rsid w:val="00DF42B7"/>
    <w:rsid w:val="00E048A5"/>
    <w:rsid w:val="00E10CD5"/>
    <w:rsid w:val="00E15544"/>
    <w:rsid w:val="00E25658"/>
    <w:rsid w:val="00E270C8"/>
    <w:rsid w:val="00E31D00"/>
    <w:rsid w:val="00E3448B"/>
    <w:rsid w:val="00E34BA1"/>
    <w:rsid w:val="00E54AD5"/>
    <w:rsid w:val="00E72B05"/>
    <w:rsid w:val="00E744E6"/>
    <w:rsid w:val="00E76C5C"/>
    <w:rsid w:val="00ED183A"/>
    <w:rsid w:val="00ED63F7"/>
    <w:rsid w:val="00ED6707"/>
    <w:rsid w:val="00ED7E1E"/>
    <w:rsid w:val="00EE2A54"/>
    <w:rsid w:val="00EF4F73"/>
    <w:rsid w:val="00EF5323"/>
    <w:rsid w:val="00F10137"/>
    <w:rsid w:val="00F11A72"/>
    <w:rsid w:val="00F14AD6"/>
    <w:rsid w:val="00F156CA"/>
    <w:rsid w:val="00F15EB7"/>
    <w:rsid w:val="00F2522E"/>
    <w:rsid w:val="00F33A54"/>
    <w:rsid w:val="00F521BF"/>
    <w:rsid w:val="00F55943"/>
    <w:rsid w:val="00F6214A"/>
    <w:rsid w:val="00F62978"/>
    <w:rsid w:val="00F639BA"/>
    <w:rsid w:val="00F73E5D"/>
    <w:rsid w:val="00F84B4F"/>
    <w:rsid w:val="00F87364"/>
    <w:rsid w:val="00F87A5B"/>
    <w:rsid w:val="00F93F8A"/>
    <w:rsid w:val="00F94AEA"/>
    <w:rsid w:val="00F963C3"/>
    <w:rsid w:val="00FA2EFC"/>
    <w:rsid w:val="00FB2B88"/>
    <w:rsid w:val="00FC227F"/>
    <w:rsid w:val="00FC5DCB"/>
    <w:rsid w:val="00FC5E68"/>
    <w:rsid w:val="00FD4FD5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,"/>
  <w14:docId w14:val="07DFA112"/>
  <w15:docId w15:val="{23B5B47C-AA64-467C-A195-AFA496C0A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A3298"/>
    <w:pPr>
      <w:spacing w:line="240" w:lineRule="atLeast"/>
    </w:pPr>
    <w:rPr>
      <w:rFonts w:ascii="Arial" w:hAnsi="Arial"/>
      <w:lang w:val="fr-FR" w:eastAsia="fr-CH"/>
    </w:rPr>
  </w:style>
  <w:style w:type="paragraph" w:styleId="Titre1">
    <w:name w:val="heading 1"/>
    <w:basedOn w:val="Normal"/>
    <w:next w:val="Textedebase"/>
    <w:link w:val="Titre1Car"/>
    <w:qFormat/>
    <w:pPr>
      <w:ind w:left="567" w:hanging="567"/>
      <w:jc w:val="both"/>
      <w:outlineLvl w:val="0"/>
    </w:pPr>
    <w:rPr>
      <w:b/>
      <w:bCs/>
    </w:rPr>
  </w:style>
  <w:style w:type="paragraph" w:styleId="Titre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Titre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Titre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Premierretrait">
    <w:name w:val="Premier retrait"/>
    <w:basedOn w:val="Textedebase"/>
    <w:rsid w:val="004B6CE1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4B6CE1"/>
    <w:pPr>
      <w:numPr>
        <w:numId w:val="18"/>
      </w:numPr>
      <w:spacing w:before="120"/>
    </w:pPr>
  </w:style>
  <w:style w:type="paragraph" w:styleId="Notedebasdepage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Pieddepage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Notedefin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ppeldenotedefin">
    <w:name w:val="endnote reference"/>
    <w:basedOn w:val="Policepardfaut"/>
    <w:semiHidden/>
    <w:rPr>
      <w:sz w:val="20"/>
      <w:szCs w:val="20"/>
      <w:vertAlign w:val="superscript"/>
    </w:rPr>
  </w:style>
  <w:style w:type="paragraph" w:styleId="TM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character" w:styleId="Lienhypertexte">
    <w:name w:val="Hyperlink"/>
    <w:basedOn w:val="Policepardfaut"/>
    <w:rsid w:val="009F110E"/>
    <w:rPr>
      <w:rFonts w:ascii="Arial" w:hAnsi="Arial"/>
      <w:color w:val="auto"/>
      <w:u w:val="none"/>
    </w:rPr>
  </w:style>
  <w:style w:type="paragraph" w:styleId="Textedebulles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8D4F34"/>
    <w:pPr>
      <w:autoSpaceDE w:val="0"/>
      <w:autoSpaceDN w:val="0"/>
      <w:adjustRightInd w:val="0"/>
      <w:jc w:val="both"/>
    </w:pPr>
    <w:rPr>
      <w:rFonts w:cs="Arial"/>
    </w:rPr>
  </w:style>
  <w:style w:type="paragraph" w:styleId="Corpsdetexte">
    <w:name w:val="Body Text"/>
    <w:basedOn w:val="Normal"/>
    <w:link w:val="CorpsdetexteCar"/>
    <w:uiPriority w:val="1"/>
    <w:qFormat/>
    <w:rsid w:val="00D032B2"/>
    <w:pPr>
      <w:widowControl w:val="0"/>
      <w:spacing w:line="240" w:lineRule="auto"/>
      <w:ind w:left="138"/>
    </w:pPr>
    <w:rPr>
      <w:rFonts w:eastAsia="Arial" w:cstheme="minorBidi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rsid w:val="00D032B2"/>
    <w:rPr>
      <w:rFonts w:ascii="Arial" w:eastAsia="Arial" w:hAnsi="Arial" w:cstheme="minorBidi"/>
      <w:lang w:val="en-US" w:eastAsia="en-US"/>
    </w:rPr>
  </w:style>
  <w:style w:type="paragraph" w:styleId="Paragraphedeliste">
    <w:name w:val="List Paragraph"/>
    <w:basedOn w:val="Normal"/>
    <w:uiPriority w:val="1"/>
    <w:qFormat/>
    <w:rsid w:val="00D032B2"/>
    <w:pPr>
      <w:widowControl w:val="0"/>
      <w:spacing w:line="240" w:lineRule="auto"/>
    </w:pPr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Titre1Car">
    <w:name w:val="Titre 1 Car"/>
    <w:basedOn w:val="Policepardfaut"/>
    <w:link w:val="Titre1"/>
    <w:rsid w:val="0031358D"/>
    <w:rPr>
      <w:rFonts w:ascii="Arial" w:hAnsi="Arial"/>
      <w:b/>
      <w:bCs/>
      <w:lang w:val="fr-FR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5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CEP-CA-Congr&#232;s%20-%20POC-CA-Congress\CEP-CA%20-%20POC-CA\FR%20Modeles\FR%20Proposition%20CEP-CA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GSProductionDocument" ma:contentTypeID="0x010100058EFBD0D35E49E793D404E779D0CFC200A99B90ACDC5B244BA2146F32FB8F9E12" ma:contentTypeVersion="0" ma:contentTypeDescription="Production document" ma:contentTypeScope="" ma:versionID="f4204278b47c5e978e806f0851f4af1a">
  <xsd:schema xmlns:xsd="http://www.w3.org/2001/XMLSchema" xmlns:xs="http://www.w3.org/2001/XMLSchema" xmlns:p="http://schemas.microsoft.com/office/2006/metadata/properties" xmlns:ns2="45bc4347-1e49-4f11-a2de-cdc8b1236453" targetNamespace="http://schemas.microsoft.com/office/2006/metadata/properties" ma:root="true" ma:fieldsID="a4456b6a203e5e68af3c88c9d5b118af" ns2:_="">
    <xsd:import namespace="45bc4347-1e49-4f11-a2de-cdc8b1236453"/>
    <xsd:element name="properties">
      <xsd:complexType>
        <xsd:sequence>
          <xsd:element name="documentManagement">
            <xsd:complexType>
              <xsd:all>
                <xsd:element ref="ns2:PGSOriginalLanguage" minOccurs="0"/>
                <xsd:element ref="ns2:PGSRequester" minOccurs="0"/>
                <xsd:element ref="ns2:PGSRequestAuthor" minOccurs="0"/>
                <xsd:element ref="ns2:PGSDocumentType" minOccurs="0"/>
                <xsd:element ref="ns2:PGSBat" minOccurs="0"/>
                <xsd:element ref="ns2:PGSTitle" minOccurs="0"/>
                <xsd:element ref="ns2:PGSAssociatedRequest" minOccurs="0"/>
                <xsd:element ref="ns2:PGSWordCount" minOccurs="0"/>
                <xsd:element ref="ns2:PGSDirectPublication" minOccurs="0"/>
                <xsd:element ref="ns2:PGSFolio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bc4347-1e49-4f11-a2de-cdc8b1236453" elementFormDefault="qualified">
    <xsd:import namespace="http://schemas.microsoft.com/office/2006/documentManagement/types"/>
    <xsd:import namespace="http://schemas.microsoft.com/office/infopath/2007/PartnerControls"/>
    <xsd:element name="PGSOriginalLanguage" ma:index="8" nillable="true" ma:displayName="Original language" ma:format="Dropdown" ma:internalName="PGSOriginalLanguage">
      <xsd:simpleType>
        <xsd:restriction base="dms:Choice">
          <xsd:enumeration value="French"/>
          <xsd:enumeration value="English"/>
          <xsd:enumeration value="Arabic"/>
          <xsd:enumeration value="Portuguese"/>
          <xsd:enumeration value="Spanish"/>
          <xsd:enumeration value="Russian"/>
          <xsd:enumeration value="Français"/>
          <xsd:enumeration value="Anglais"/>
          <xsd:enumeration value="Arabe"/>
          <xsd:enumeration value="Portugais"/>
          <xsd:enumeration value="Russe"/>
          <xsd:enumeration value="Espagnol"/>
        </xsd:restriction>
      </xsd:simpleType>
    </xsd:element>
    <xsd:element name="PGSRequester" ma:index="9" nillable="true" ma:displayName="Requester" ma:internalName="PGSRequester">
      <xsd:simpleType>
        <xsd:restriction base="dms:Text"/>
      </xsd:simpleType>
    </xsd:element>
    <xsd:element name="PGSRequestAuthor" ma:index="10" nillable="true" ma:displayName="Author" ma:internalName="PGSRequestAuthor">
      <xsd:simpleType>
        <xsd:restriction base="dms:Text"/>
      </xsd:simpleType>
    </xsd:element>
    <xsd:element name="PGSDocumentType" ma:index="11" nillable="true" ma:displayName="To be published" ma:default="0" ma:internalName="PGSDocumentType">
      <xsd:simpleType>
        <xsd:restriction base="dms:Boolean"/>
      </xsd:simpleType>
    </xsd:element>
    <xsd:element name="PGSBat" ma:index="12" nillable="true" ma:displayName="BAT" ma:default="0" ma:internalName="PGSBat">
      <xsd:simpleType>
        <xsd:restriction base="dms:Boolean"/>
      </xsd:simpleType>
    </xsd:element>
    <xsd:element name="PGSTitle" ma:index="13" nillable="true" ma:displayName="Document title" ma:internalName="PGSTitle">
      <xsd:simpleType>
        <xsd:restriction base="dms:Text"/>
      </xsd:simpleType>
    </xsd:element>
    <xsd:element name="PGSAssociatedRequest" ma:index="14" nillable="true" ma:displayName="Associated request" ma:internalName="PGSAssociatedRequest">
      <xsd:simpleType>
        <xsd:restriction base="dms:Text"/>
      </xsd:simpleType>
    </xsd:element>
    <xsd:element name="PGSWordCount" ma:index="15" nillable="true" ma:displayName="Number of words" ma:internalName="PGSWordCount">
      <xsd:simpleType>
        <xsd:restriction base="dms:Number"/>
      </xsd:simpleType>
    </xsd:element>
    <xsd:element name="PGSDirectPublication" ma:index="16" nillable="true" ma:displayName="Direct publication" ma:default="0" ma:internalName="PGSDirectPublication">
      <xsd:simpleType>
        <xsd:restriction base="dms:Boolean"/>
      </xsd:simpleType>
    </xsd:element>
    <xsd:element name="PGSFolio" ma:index="17" nillable="true" ma:displayName="Folio" ma:internalName="PGSFolio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GSBat xmlns="45bc4347-1e49-4f11-a2de-cdc8b1236453">false</PGSBat>
    <PGSWordCount xmlns="45bc4347-1e49-4f11-a2de-cdc8b1236453" xsi:nil="true"/>
    <PGSDirectPublication xmlns="45bc4347-1e49-4f11-a2de-cdc8b1236453">false</PGSDirectPublication>
    <PGSAssociatedRequest xmlns="45bc4347-1e49-4f11-a2de-cdc8b1236453" xsi:nil="true"/>
    <PGSTitle xmlns="45bc4347-1e49-4f11-a2de-cdc8b1236453" xsi:nil="true"/>
    <PGSRequester xmlns="45bc4347-1e49-4f11-a2de-cdc8b1236453" xsi:nil="true"/>
    <PGSFolio xmlns="45bc4347-1e49-4f11-a2de-cdc8b1236453" xsi:nil="true"/>
    <PGSOriginalLanguage xmlns="45bc4347-1e49-4f11-a2de-cdc8b1236453" xsi:nil="true"/>
    <PGSRequestAuthor xmlns="45bc4347-1e49-4f11-a2de-cdc8b1236453" xsi:nil="true"/>
    <PGSDocumentType xmlns="45bc4347-1e49-4f11-a2de-cdc8b1236453">false</PGSDocumentType>
  </documentManagement>
</p:properties>
</file>

<file path=customXml/itemProps1.xml><?xml version="1.0" encoding="utf-8"?>
<ds:datastoreItem xmlns:ds="http://schemas.openxmlformats.org/officeDocument/2006/customXml" ds:itemID="{98F6C88D-604C-4F25-95A3-631778DEF9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12FF15-69A3-4479-B13A-73C4DE202066}"/>
</file>

<file path=customXml/itemProps3.xml><?xml version="1.0" encoding="utf-8"?>
<ds:datastoreItem xmlns:ds="http://schemas.openxmlformats.org/officeDocument/2006/customXml" ds:itemID="{2E1072A2-57DE-4B6C-B75F-4DA2A167726C}"/>
</file>

<file path=customXml/itemProps4.xml><?xml version="1.0" encoding="utf-8"?>
<ds:datastoreItem xmlns:ds="http://schemas.openxmlformats.org/officeDocument/2006/customXml" ds:itemID="{1BAEEC60-9403-4706-B450-751E1C8AF23A}"/>
</file>

<file path=docProps/app.xml><?xml version="1.0" encoding="utf-8"?>
<Properties xmlns="http://schemas.openxmlformats.org/officeDocument/2006/extended-properties" xmlns:vt="http://schemas.openxmlformats.org/officeDocument/2006/docPropsVTypes">
  <Template>FR Proposition CEP-CA</Template>
  <TotalTime>11</TotalTime>
  <Pages>1</Pages>
  <Words>343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X</vt:lpstr>
    </vt:vector>
  </TitlesOfParts>
  <Company>Union postal universelle (UPU)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JEANNERET elena</dc:creator>
  <cp:lastModifiedBy>JEANNERET elena</cp:lastModifiedBy>
  <cp:revision>4</cp:revision>
  <cp:lastPrinted>2011-03-22T12:52:00Z</cp:lastPrinted>
  <dcterms:created xsi:type="dcterms:W3CDTF">2025-04-02T13:56:00Z</dcterms:created>
  <dcterms:modified xsi:type="dcterms:W3CDTF">2025-04-09T07:27:00Z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0x010100058EFBD0D35E49E793D404E779D0CFC200A99B90ACDC5B244BA2146F32FB8F9E12</vt:lpwstr>
  </property>
</Properties>
</file>