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A57D9" w14:textId="185F80CB" w:rsidR="00FD62A0" w:rsidRPr="00836B40" w:rsidRDefault="00F82626" w:rsidP="00FD62A0">
      <w:pPr>
        <w:pBdr>
          <w:bottom w:val="single" w:sz="4" w:space="6" w:color="auto"/>
        </w:pBdr>
        <w:tabs>
          <w:tab w:val="right" w:pos="9639"/>
        </w:tabs>
        <w:jc w:val="both"/>
        <w:rPr>
          <w:rFonts w:cs="Arial"/>
          <w:b/>
          <w:lang w:val="es-ES_tradnl"/>
        </w:rPr>
      </w:pPr>
      <w:r>
        <w:rPr>
          <w:b/>
          <w:lang w:val="es-ES_tradnl"/>
        </w:rPr>
        <w:t>28º</w:t>
      </w:r>
      <w:r w:rsidR="00022C62">
        <w:rPr>
          <w:b/>
          <w:lang w:val="es-ES_tradnl"/>
        </w:rPr>
        <w:t xml:space="preserve"> </w:t>
      </w:r>
      <w:r w:rsidR="00FD62A0" w:rsidRPr="00836B40">
        <w:rPr>
          <w:b/>
          <w:lang w:val="es-ES_tradnl"/>
        </w:rPr>
        <w:t>CONGRESO</w:t>
      </w:r>
    </w:p>
    <w:p w14:paraId="6B2910D2" w14:textId="77777777" w:rsidR="00FD62A0" w:rsidRPr="00836B40" w:rsidRDefault="00FD62A0" w:rsidP="00FD62A0">
      <w:pPr>
        <w:pBdr>
          <w:bottom w:val="single" w:sz="4" w:space="6" w:color="auto"/>
        </w:pBdr>
        <w:tabs>
          <w:tab w:val="right" w:pos="9639"/>
        </w:tabs>
        <w:jc w:val="both"/>
        <w:rPr>
          <w:rFonts w:cs="Arial"/>
          <w:lang w:val="es-ES_tradnl"/>
        </w:rPr>
      </w:pPr>
    </w:p>
    <w:p w14:paraId="21774532" w14:textId="077B80DD" w:rsidR="00FD62A0" w:rsidRPr="00836B40" w:rsidRDefault="00FD62A0" w:rsidP="00FD62A0">
      <w:pPr>
        <w:pBdr>
          <w:bottom w:val="single" w:sz="4" w:space="6" w:color="auto"/>
        </w:pBdr>
        <w:tabs>
          <w:tab w:val="right" w:pos="9639"/>
        </w:tabs>
        <w:spacing w:line="240" w:lineRule="auto"/>
        <w:jc w:val="both"/>
        <w:rPr>
          <w:rFonts w:cs="Arial"/>
          <w:b/>
          <w:sz w:val="36"/>
          <w:szCs w:val="36"/>
          <w:lang w:val="es-ES_tradnl"/>
        </w:rPr>
      </w:pPr>
      <w:r>
        <w:rPr>
          <w:lang w:val="es-ES_tradnl"/>
        </w:rPr>
        <w:t>Convenio</w:t>
      </w:r>
      <w:r w:rsidRPr="00836B40">
        <w:rPr>
          <w:rFonts w:cs="Arial"/>
          <w:lang w:val="es-ES_tradnl"/>
        </w:rPr>
        <w:t xml:space="preserve"> – Proposición</w:t>
      </w:r>
      <w:r w:rsidRPr="00836B40">
        <w:rPr>
          <w:rFonts w:cs="Arial"/>
          <w:lang w:val="es-ES_tradnl"/>
        </w:rPr>
        <w:tab/>
      </w:r>
      <w:r>
        <w:rPr>
          <w:rFonts w:cs="Arial"/>
          <w:b/>
          <w:sz w:val="36"/>
          <w:szCs w:val="36"/>
          <w:lang w:val="es-ES_tradnl"/>
        </w:rPr>
        <w:t>20</w:t>
      </w:r>
      <w:r w:rsidRPr="00836B40">
        <w:rPr>
          <w:rFonts w:cs="Arial"/>
          <w:b/>
          <w:sz w:val="36"/>
          <w:szCs w:val="36"/>
          <w:lang w:val="es-ES_tradnl"/>
        </w:rPr>
        <w:t>.</w:t>
      </w:r>
      <w:r w:rsidR="00F82626">
        <w:rPr>
          <w:rFonts w:cs="Arial"/>
          <w:b/>
          <w:sz w:val="36"/>
          <w:szCs w:val="36"/>
          <w:lang w:val="es-ES_tradnl"/>
        </w:rPr>
        <w:t>X</w:t>
      </w:r>
      <w:r w:rsidRPr="00836B40">
        <w:rPr>
          <w:rFonts w:cs="Arial"/>
          <w:b/>
          <w:sz w:val="36"/>
          <w:szCs w:val="36"/>
          <w:lang w:val="es-ES_tradnl"/>
        </w:rPr>
        <w:t>.</w:t>
      </w:r>
      <w:r>
        <w:rPr>
          <w:rFonts w:cs="Arial"/>
          <w:b/>
          <w:sz w:val="36"/>
          <w:szCs w:val="36"/>
          <w:lang w:val="es-ES_tradnl"/>
        </w:rPr>
        <w:t>1</w:t>
      </w:r>
    </w:p>
    <w:p w14:paraId="77A66135" w14:textId="77777777" w:rsidR="00FD62A0" w:rsidRPr="00836B40" w:rsidRDefault="00FD62A0" w:rsidP="00FD62A0">
      <w:pPr>
        <w:jc w:val="right"/>
        <w:rPr>
          <w:rFonts w:cs="Arial"/>
          <w:lang w:val="es-ES_tradnl"/>
        </w:rPr>
      </w:pPr>
    </w:p>
    <w:p w14:paraId="44EC2A7C" w14:textId="77777777" w:rsidR="00FD62A0" w:rsidRPr="00836B40" w:rsidRDefault="00FD62A0" w:rsidP="00FD62A0">
      <w:pPr>
        <w:jc w:val="both"/>
        <w:rPr>
          <w:rFonts w:cs="Arial"/>
          <w:lang w:val="es-ES_tradnl"/>
        </w:rPr>
      </w:pPr>
    </w:p>
    <w:p w14:paraId="3326B72E" w14:textId="7CDAFC2C" w:rsidR="00FD62A0" w:rsidRPr="00D40C21" w:rsidRDefault="00FD62A0" w:rsidP="00FD62A0">
      <w:pPr>
        <w:pStyle w:val="3Textedebase"/>
        <w:spacing w:line="230" w:lineRule="exact"/>
        <w:rPr>
          <w:rFonts w:ascii="Arial" w:hAnsi="Arial" w:cs="Arial"/>
          <w:highlight w:val="yellow"/>
          <w:lang w:val="es-ES"/>
        </w:rPr>
      </w:pPr>
      <w:r w:rsidRPr="00D40C21">
        <w:rPr>
          <w:rFonts w:ascii="Arial" w:hAnsi="Arial" w:cs="Arial"/>
          <w:lang w:val="es-ES"/>
        </w:rPr>
        <w:t xml:space="preserve">Artículo </w:t>
      </w:r>
      <w:r w:rsidR="00C2794C">
        <w:rPr>
          <w:rFonts w:ascii="Arial" w:hAnsi="Arial" w:cs="Arial"/>
          <w:lang w:val="es-ES"/>
        </w:rPr>
        <w:t>X</w:t>
      </w:r>
    </w:p>
    <w:p w14:paraId="6F4E3B45" w14:textId="1365C388" w:rsidR="00FD62A0" w:rsidRPr="00D40C21" w:rsidRDefault="00C2794C" w:rsidP="00FD62A0">
      <w:pPr>
        <w:pStyle w:val="3Textedebase"/>
        <w:spacing w:line="230" w:lineRule="exac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Título del artículo</w:t>
      </w:r>
    </w:p>
    <w:p w14:paraId="2744C4EC" w14:textId="77777777" w:rsidR="00FD62A0" w:rsidRPr="00B83587" w:rsidRDefault="00FD62A0" w:rsidP="00FD62A0">
      <w:pPr>
        <w:jc w:val="both"/>
        <w:rPr>
          <w:rFonts w:cs="Arial"/>
          <w:lang w:val="es-ES"/>
        </w:rPr>
      </w:pPr>
    </w:p>
    <w:p w14:paraId="14435925" w14:textId="77777777" w:rsidR="00FD62A0" w:rsidRPr="00836B40" w:rsidRDefault="00FD62A0" w:rsidP="00FD62A0">
      <w:pPr>
        <w:jc w:val="both"/>
        <w:rPr>
          <w:rFonts w:cs="Arial"/>
          <w:lang w:val="es-ES_tradnl"/>
        </w:rPr>
      </w:pPr>
    </w:p>
    <w:p w14:paraId="76BF97E3" w14:textId="2AB948AC" w:rsidR="00FD62A0" w:rsidRPr="00836B40" w:rsidRDefault="0039753D" w:rsidP="00FD62A0">
      <w:pPr>
        <w:jc w:val="both"/>
        <w:rPr>
          <w:rFonts w:cs="Arial"/>
          <w:b/>
          <w:bCs/>
          <w:lang w:val="es-ES_tradnl"/>
        </w:rPr>
      </w:pPr>
      <w:r>
        <w:rPr>
          <w:rFonts w:cs="Arial"/>
          <w:b/>
          <w:bCs/>
          <w:lang w:val="es-ES_tradnl"/>
        </w:rPr>
        <w:t>PAÍS MIEMBRO</w:t>
      </w:r>
    </w:p>
    <w:p w14:paraId="2F32C931" w14:textId="77777777" w:rsidR="00FD62A0" w:rsidRPr="00836B40" w:rsidRDefault="00FD62A0" w:rsidP="00FD62A0">
      <w:pPr>
        <w:jc w:val="both"/>
        <w:rPr>
          <w:rFonts w:cs="Arial"/>
          <w:lang w:val="es-ES_tradnl"/>
        </w:rPr>
      </w:pPr>
    </w:p>
    <w:p w14:paraId="4A5D1BAA" w14:textId="77777777" w:rsidR="00FD62A0" w:rsidRPr="00836B40" w:rsidRDefault="00FD62A0" w:rsidP="00FD62A0">
      <w:pPr>
        <w:jc w:val="both"/>
        <w:rPr>
          <w:rFonts w:cs="Arial"/>
          <w:lang w:val="es-ES_tradnl"/>
        </w:rPr>
      </w:pPr>
    </w:p>
    <w:p w14:paraId="70FB31CE" w14:textId="1295CE1B" w:rsidR="00FD62A0" w:rsidRPr="00836B40" w:rsidRDefault="00FD62A0" w:rsidP="00FD62A0">
      <w:pPr>
        <w:rPr>
          <w:lang w:val="es-ES_tradnl"/>
        </w:rPr>
      </w:pPr>
      <w:r w:rsidRPr="00836B40">
        <w:rPr>
          <w:lang w:val="es-ES_tradnl"/>
        </w:rPr>
        <w:t xml:space="preserve">Modificar el </w:t>
      </w:r>
      <w:r w:rsidR="0054618C">
        <w:rPr>
          <w:lang w:val="es-ES_tradnl"/>
        </w:rPr>
        <w:t>artículo</w:t>
      </w:r>
      <w:r w:rsidRPr="00836B40">
        <w:rPr>
          <w:lang w:val="es-ES_tradnl"/>
        </w:rPr>
        <w:t xml:space="preserve"> </w:t>
      </w:r>
      <w:r w:rsidR="004669C2" w:rsidRPr="00836B40">
        <w:rPr>
          <w:lang w:val="es-ES_tradnl"/>
        </w:rPr>
        <w:t xml:space="preserve">de la manera </w:t>
      </w:r>
      <w:r w:rsidR="004669C2">
        <w:rPr>
          <w:lang w:val="es-ES_tradnl"/>
        </w:rPr>
        <w:t xml:space="preserve">siguiente </w:t>
      </w:r>
      <w:r>
        <w:rPr>
          <w:lang w:val="es-ES_tradnl"/>
        </w:rPr>
        <w:t xml:space="preserve">y agregar el § </w:t>
      </w:r>
      <w:r w:rsidR="00F37E9B">
        <w:rPr>
          <w:lang w:val="es-ES_tradnl"/>
        </w:rPr>
        <w:t>2</w:t>
      </w:r>
      <w:r w:rsidRPr="00836B40">
        <w:rPr>
          <w:lang w:val="es-ES_tradnl"/>
        </w:rPr>
        <w:t>:</w:t>
      </w:r>
    </w:p>
    <w:p w14:paraId="6FB29F00" w14:textId="77777777" w:rsidR="00FD62A0" w:rsidRPr="00836B40" w:rsidRDefault="00FD62A0" w:rsidP="00FD62A0">
      <w:pPr>
        <w:rPr>
          <w:lang w:val="es-ES_tradnl"/>
        </w:rPr>
      </w:pPr>
    </w:p>
    <w:p w14:paraId="328AA3E2" w14:textId="33B911E0" w:rsidR="00FD62A0" w:rsidRDefault="00FD62A0" w:rsidP="00FD62A0">
      <w:pPr>
        <w:pStyle w:val="3Textedebase"/>
        <w:spacing w:line="230" w:lineRule="exact"/>
        <w:rPr>
          <w:rFonts w:ascii="Arial" w:hAnsi="Arial" w:cs="Arial"/>
          <w:lang w:val="es-ES"/>
        </w:rPr>
      </w:pPr>
      <w:r w:rsidRPr="00D40C21">
        <w:rPr>
          <w:rFonts w:ascii="Arial" w:hAnsi="Arial" w:cs="Arial"/>
          <w:lang w:val="es-ES"/>
        </w:rPr>
        <w:t>1.</w:t>
      </w:r>
      <w:r w:rsidRPr="00D40C21">
        <w:rPr>
          <w:rFonts w:ascii="Arial" w:hAnsi="Arial" w:cs="Arial"/>
          <w:lang w:val="es-ES"/>
        </w:rPr>
        <w:tab/>
        <w:t xml:space="preserve">Los Países miembros deberán notificar a la Oficina Internacional, dentro de los </w:t>
      </w:r>
      <w:r w:rsidR="00EE0550">
        <w:rPr>
          <w:rFonts w:ascii="Arial" w:hAnsi="Arial" w:cs="Arial"/>
          <w:lang w:val="es-ES"/>
        </w:rPr>
        <w:t>seis</w:t>
      </w:r>
      <w:r w:rsidRPr="00D40C21">
        <w:rPr>
          <w:rFonts w:ascii="Arial" w:hAnsi="Arial" w:cs="Arial"/>
          <w:lang w:val="es-ES"/>
        </w:rPr>
        <w:t xml:space="preserve"> meses siguientes a la finalización del Congreso, el nombre y la dirección del órgano público encargado de supervisar los asuntos postales. Los Países miembros también deberán comunicar a la Oficina Internacional, dentro de los seis meses siguientes a la finalización del Congreso, el nombre y la dirección del operador o de los operadores designados oficialmente para operar los servicios postales y cumplir las obligaciones derivadas de las Actas de la Unión en su territorio. </w:t>
      </w:r>
      <w:r>
        <w:rPr>
          <w:rFonts w:ascii="Arial" w:hAnsi="Arial" w:cs="Arial"/>
          <w:lang w:val="es-ES"/>
        </w:rPr>
        <w:t>E</w:t>
      </w:r>
      <w:r w:rsidRPr="00D40C21">
        <w:rPr>
          <w:rFonts w:ascii="Arial" w:hAnsi="Arial" w:cs="Arial"/>
          <w:lang w:val="es-ES"/>
        </w:rPr>
        <w:t>ntre dos Congresos,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u w:val="single"/>
          <w:lang w:val="es-ES"/>
        </w:rPr>
        <w:t xml:space="preserve">los </w:t>
      </w:r>
      <w:r w:rsidRPr="00B83587">
        <w:rPr>
          <w:rFonts w:ascii="Arial" w:hAnsi="Arial" w:cs="Arial"/>
          <w:u w:val="single"/>
          <w:lang w:val="es-ES"/>
        </w:rPr>
        <w:t>Países miembros</w:t>
      </w:r>
      <w:r>
        <w:rPr>
          <w:rFonts w:ascii="Arial" w:hAnsi="Arial" w:cs="Arial"/>
          <w:u w:val="single"/>
          <w:lang w:val="es-ES"/>
        </w:rPr>
        <w:t xml:space="preserve"> comunicarán lo más pronto posible a la </w:t>
      </w:r>
      <w:r w:rsidRPr="00B83587">
        <w:rPr>
          <w:rFonts w:ascii="Arial" w:hAnsi="Arial" w:cs="Arial"/>
          <w:u w:val="single"/>
          <w:lang w:val="es-ES"/>
        </w:rPr>
        <w:t xml:space="preserve">Oficina </w:t>
      </w:r>
      <w:r w:rsidRPr="00845372">
        <w:rPr>
          <w:rFonts w:ascii="Arial" w:hAnsi="Arial" w:cs="Arial"/>
          <w:u w:val="single"/>
          <w:lang w:val="es-ES"/>
        </w:rPr>
        <w:t>Internacional</w:t>
      </w:r>
      <w:r w:rsidR="00845372">
        <w:rPr>
          <w:rFonts w:ascii="Arial" w:hAnsi="Arial" w:cs="Arial"/>
          <w:lang w:val="es-ES"/>
        </w:rPr>
        <w:t xml:space="preserve"> </w:t>
      </w:r>
      <w:r w:rsidRPr="00845372">
        <w:rPr>
          <w:rFonts w:ascii="Arial" w:hAnsi="Arial" w:cs="Arial"/>
          <w:lang w:val="es-ES"/>
        </w:rPr>
        <w:t>los</w:t>
      </w:r>
      <w:r w:rsidRPr="00957D93">
        <w:rPr>
          <w:rFonts w:ascii="Arial" w:hAnsi="Arial" w:cs="Arial"/>
          <w:lang w:val="es-ES"/>
        </w:rPr>
        <w:t xml:space="preserve"> cambios que se produzcan</w:t>
      </w:r>
      <w:r w:rsidRPr="00D40C21">
        <w:rPr>
          <w:rFonts w:ascii="Arial" w:hAnsi="Arial" w:cs="Arial"/>
          <w:lang w:val="es-ES"/>
        </w:rPr>
        <w:t xml:space="preserve"> en los órganos públicos </w:t>
      </w:r>
      <w:r w:rsidRPr="00A60A8E">
        <w:rPr>
          <w:rFonts w:ascii="Arial" w:hAnsi="Arial" w:cs="Arial"/>
          <w:strike/>
          <w:lang w:val="es-ES"/>
        </w:rPr>
        <w:t>y</w:t>
      </w:r>
      <w:r>
        <w:rPr>
          <w:rFonts w:ascii="Arial" w:hAnsi="Arial" w:cs="Arial"/>
          <w:u w:val="single"/>
          <w:lang w:val="es-ES"/>
        </w:rPr>
        <w:t>.</w:t>
      </w:r>
      <w:r w:rsidRPr="00D40C21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u w:val="single"/>
          <w:lang w:val="es-ES"/>
        </w:rPr>
        <w:t>Los cambios</w:t>
      </w:r>
      <w:r>
        <w:rPr>
          <w:rFonts w:ascii="Arial" w:hAnsi="Arial" w:cs="Arial"/>
          <w:lang w:val="es-ES"/>
        </w:rPr>
        <w:t xml:space="preserve"> </w:t>
      </w:r>
      <w:r w:rsidRPr="00D40C21">
        <w:rPr>
          <w:rFonts w:ascii="Arial" w:hAnsi="Arial" w:cs="Arial"/>
          <w:lang w:val="es-ES"/>
        </w:rPr>
        <w:t>en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u w:val="single"/>
          <w:lang w:val="es-ES"/>
        </w:rPr>
        <w:t>lo que respecta a</w:t>
      </w:r>
      <w:r w:rsidRPr="00D40C21">
        <w:rPr>
          <w:rFonts w:ascii="Arial" w:hAnsi="Arial" w:cs="Arial"/>
          <w:lang w:val="es-ES"/>
        </w:rPr>
        <w:t xml:space="preserve"> los operadores designados oficialmente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u w:val="single"/>
          <w:lang w:val="es-ES"/>
        </w:rPr>
        <w:t>también</w:t>
      </w:r>
      <w:r w:rsidRPr="00D40C21">
        <w:rPr>
          <w:rFonts w:ascii="Arial" w:hAnsi="Arial" w:cs="Arial"/>
          <w:lang w:val="es-ES"/>
        </w:rPr>
        <w:t xml:space="preserve"> </w:t>
      </w:r>
      <w:r w:rsidRPr="00B31E15">
        <w:rPr>
          <w:rFonts w:ascii="Arial" w:hAnsi="Arial" w:cs="Arial"/>
          <w:lang w:val="es-ES"/>
        </w:rPr>
        <w:t>deberán ser notificados cuanto antes a la Oficina Internacional</w:t>
      </w:r>
      <w:r>
        <w:rPr>
          <w:rFonts w:ascii="Arial" w:hAnsi="Arial" w:cs="Arial"/>
          <w:u w:val="single"/>
          <w:lang w:val="es-ES"/>
        </w:rPr>
        <w:t>, y preferentemente por lo menos tres meses antes de que comiencen a aplicarse</w:t>
      </w:r>
      <w:r w:rsidRPr="00D40C21">
        <w:rPr>
          <w:rFonts w:ascii="Arial" w:hAnsi="Arial" w:cs="Arial"/>
          <w:lang w:val="es-ES"/>
        </w:rPr>
        <w:t>.</w:t>
      </w:r>
    </w:p>
    <w:p w14:paraId="0BBDE9B3" w14:textId="77777777" w:rsidR="00FD62A0" w:rsidRDefault="00FD62A0" w:rsidP="00FD62A0">
      <w:pPr>
        <w:pStyle w:val="3Textedebase"/>
        <w:spacing w:line="230" w:lineRule="exact"/>
        <w:rPr>
          <w:rFonts w:ascii="Arial" w:hAnsi="Arial" w:cs="Arial"/>
          <w:lang w:val="es-ES"/>
        </w:rPr>
      </w:pPr>
    </w:p>
    <w:p w14:paraId="0FBB2E47" w14:textId="1AF9CA72" w:rsidR="00FD62A0" w:rsidRPr="00B83587" w:rsidRDefault="003F4AC5" w:rsidP="00FD62A0">
      <w:pPr>
        <w:pStyle w:val="3Textedebase"/>
        <w:spacing w:line="230" w:lineRule="exact"/>
        <w:rPr>
          <w:rFonts w:ascii="Arial" w:hAnsi="Arial" w:cs="Arial"/>
          <w:u w:val="single"/>
          <w:lang w:val="es-ES"/>
        </w:rPr>
      </w:pPr>
      <w:r>
        <w:rPr>
          <w:rFonts w:ascii="Arial" w:hAnsi="Arial" w:cs="Arial"/>
          <w:u w:val="single"/>
          <w:lang w:val="es-ES"/>
        </w:rPr>
        <w:t>2</w:t>
      </w:r>
      <w:r w:rsidR="00FD62A0" w:rsidRPr="0016336F">
        <w:rPr>
          <w:rFonts w:ascii="Arial" w:hAnsi="Arial" w:cs="Arial"/>
          <w:u w:val="single"/>
          <w:lang w:val="es-ES"/>
        </w:rPr>
        <w:t>.</w:t>
      </w:r>
      <w:r w:rsidR="00FD62A0" w:rsidRPr="0016336F">
        <w:rPr>
          <w:rFonts w:ascii="Arial" w:hAnsi="Arial" w:cs="Arial"/>
          <w:u w:val="single"/>
          <w:lang w:val="es-ES"/>
        </w:rPr>
        <w:tab/>
        <w:t>Cuando un País miembro designe oficialmente a un nuevo operador, indicará el alcance de los servicios postales que serán prestados por ese operador en virtud de las Actas de la Unión, así como su cobertura territorial.</w:t>
      </w:r>
    </w:p>
    <w:p w14:paraId="1AEB20C1" w14:textId="77777777" w:rsidR="00FD62A0" w:rsidRPr="00B83587" w:rsidRDefault="00FD62A0" w:rsidP="00FD62A0">
      <w:pPr>
        <w:rPr>
          <w:lang w:val="es-ES"/>
        </w:rPr>
      </w:pPr>
    </w:p>
    <w:p w14:paraId="4954401D" w14:textId="77777777" w:rsidR="00FD62A0" w:rsidRPr="00836B40" w:rsidRDefault="00FD62A0" w:rsidP="00FD62A0">
      <w:pPr>
        <w:rPr>
          <w:lang w:val="es-ES_tradnl"/>
        </w:rPr>
      </w:pPr>
    </w:p>
    <w:p w14:paraId="402C749F" w14:textId="587F1784" w:rsidR="00FD62A0" w:rsidRDefault="00FD62A0" w:rsidP="00FD62A0">
      <w:pPr>
        <w:jc w:val="both"/>
        <w:rPr>
          <w:rFonts w:cs="Arial"/>
          <w:lang w:val="es-ES_tradnl"/>
        </w:rPr>
      </w:pPr>
      <w:r w:rsidRPr="00836B40">
        <w:rPr>
          <w:b/>
          <w:lang w:val="es-ES_tradnl"/>
        </w:rPr>
        <w:t xml:space="preserve">Motivos. – </w:t>
      </w:r>
      <w:r>
        <w:rPr>
          <w:lang w:val="es-ES_tradnl"/>
        </w:rPr>
        <w:t xml:space="preserve">Este artículo establece un plazo preciso, después de la finalización del </w:t>
      </w:r>
      <w:r w:rsidRPr="00B83587">
        <w:rPr>
          <w:rFonts w:cs="Arial"/>
          <w:lang w:val="es-ES_tradnl"/>
        </w:rPr>
        <w:t>Congreso</w:t>
      </w:r>
      <w:r>
        <w:rPr>
          <w:rFonts w:cs="Arial"/>
          <w:lang w:val="es-ES_tradnl"/>
        </w:rPr>
        <w:t xml:space="preserve">, para que los </w:t>
      </w:r>
      <w:r w:rsidRPr="00B83587">
        <w:rPr>
          <w:rFonts w:cs="Arial"/>
          <w:lang w:val="es-ES_tradnl"/>
        </w:rPr>
        <w:t>Países miembros</w:t>
      </w:r>
      <w:r>
        <w:rPr>
          <w:rFonts w:cs="Arial"/>
          <w:lang w:val="es-ES_tradnl"/>
        </w:rPr>
        <w:t xml:space="preserve"> notifiquen cuáles son los órganos gubernamentales y las entidades operativas. Sin embargo, no establece un plazo preciso para la notificación de las modificaciones entre dos Congresos. Los </w:t>
      </w:r>
      <w:r w:rsidRPr="00B83587">
        <w:rPr>
          <w:rFonts w:cs="Arial"/>
          <w:lang w:val="es-ES_tradnl"/>
        </w:rPr>
        <w:t>Países miembros</w:t>
      </w:r>
      <w:r>
        <w:rPr>
          <w:rFonts w:cs="Arial"/>
          <w:lang w:val="es-ES_tradnl"/>
        </w:rPr>
        <w:t xml:space="preserve"> a menudo comunican a la </w:t>
      </w:r>
      <w:r w:rsidRPr="00B83587">
        <w:rPr>
          <w:rFonts w:cs="Arial"/>
          <w:lang w:val="es-ES_tradnl"/>
        </w:rPr>
        <w:t>Oficina Internacional</w:t>
      </w:r>
      <w:r>
        <w:rPr>
          <w:rFonts w:cs="Arial"/>
          <w:lang w:val="es-ES_tradnl"/>
        </w:rPr>
        <w:t xml:space="preserve"> los cambios poco antes de su entrada en vigor, lo que genera problemas tanto para el nuevo operador </w:t>
      </w:r>
      <w:r w:rsidR="006B7801">
        <w:rPr>
          <w:rFonts w:cs="Arial"/>
          <w:lang w:val="es-ES_tradnl"/>
        </w:rPr>
        <w:t xml:space="preserve">designado </w:t>
      </w:r>
      <w:r>
        <w:rPr>
          <w:rFonts w:cs="Arial"/>
          <w:lang w:val="es-ES_tradnl"/>
        </w:rPr>
        <w:t xml:space="preserve">como para los demás </w:t>
      </w:r>
      <w:r w:rsidRPr="00B83587">
        <w:rPr>
          <w:rFonts w:cs="Arial"/>
          <w:lang w:val="es-ES_tradnl"/>
        </w:rPr>
        <w:t>operadores designados</w:t>
      </w:r>
      <w:r>
        <w:rPr>
          <w:rFonts w:cs="Arial"/>
          <w:lang w:val="es-ES_tradnl"/>
        </w:rPr>
        <w:t xml:space="preserve"> en lo que respecta a los acuerdos necesarios a nivel operativo.</w:t>
      </w:r>
    </w:p>
    <w:p w14:paraId="0482DAAC" w14:textId="5335CF91" w:rsidR="00FD62A0" w:rsidRPr="00836B40" w:rsidRDefault="00FD62A0" w:rsidP="00FD62A0">
      <w:pPr>
        <w:jc w:val="both"/>
        <w:rPr>
          <w:lang w:val="es-ES_tradnl"/>
        </w:rPr>
      </w:pPr>
      <w:r>
        <w:rPr>
          <w:rFonts w:cs="Arial"/>
          <w:lang w:val="es-ES_tradnl"/>
        </w:rPr>
        <w:t xml:space="preserve">En algunos casos, el nuevo operador designado está habilitado para prestar solo algunos servicios básicos establecidos en el </w:t>
      </w:r>
      <w:r w:rsidRPr="00EE0550">
        <w:rPr>
          <w:rFonts w:cs="Arial"/>
          <w:lang w:val="es-ES_tradnl"/>
        </w:rPr>
        <w:t>artículo 1</w:t>
      </w:r>
      <w:r w:rsidR="00F82626" w:rsidRPr="00EE0550">
        <w:rPr>
          <w:rFonts w:cs="Arial"/>
          <w:lang w:val="es-ES_tradnl"/>
        </w:rPr>
        <w:t>7</w:t>
      </w:r>
      <w:r w:rsidRPr="00EE0550">
        <w:rPr>
          <w:rFonts w:cs="Arial"/>
          <w:lang w:val="es-ES_tradnl"/>
        </w:rPr>
        <w:t xml:space="preserve"> del Convenio</w:t>
      </w:r>
      <w:r>
        <w:rPr>
          <w:rFonts w:cs="Arial"/>
          <w:lang w:val="es-ES_tradnl"/>
        </w:rPr>
        <w:t xml:space="preserve"> Postal Universal o </w:t>
      </w:r>
      <w:r w:rsidR="002751F7">
        <w:rPr>
          <w:rFonts w:cs="Arial"/>
          <w:lang w:val="es-ES_tradnl"/>
        </w:rPr>
        <w:t>para</w:t>
      </w:r>
      <w:r>
        <w:rPr>
          <w:rFonts w:cs="Arial"/>
          <w:lang w:val="es-ES_tradnl"/>
        </w:rPr>
        <w:t xml:space="preserve"> prestar servicios postales en una zona específica del territorio del País miembro. En estos casos, conviene que toda esa información sea transmitida a todos los </w:t>
      </w:r>
      <w:r w:rsidRPr="00F4228B">
        <w:rPr>
          <w:rFonts w:cs="Arial"/>
          <w:lang w:val="es-ES_tradnl"/>
        </w:rPr>
        <w:t>operadores designados</w:t>
      </w:r>
      <w:r>
        <w:rPr>
          <w:rFonts w:cs="Arial"/>
          <w:lang w:val="es-ES_tradnl"/>
        </w:rPr>
        <w:t xml:space="preserve"> </w:t>
      </w:r>
      <w:r w:rsidR="003777F5">
        <w:rPr>
          <w:rFonts w:cs="Arial"/>
          <w:lang w:val="es-ES_tradnl"/>
        </w:rPr>
        <w:t>de manera oportuna</w:t>
      </w:r>
      <w:r>
        <w:rPr>
          <w:rFonts w:cs="Arial"/>
          <w:lang w:val="es-ES_tradnl"/>
        </w:rPr>
        <w:t xml:space="preserve">, a través de la </w:t>
      </w:r>
      <w:r w:rsidRPr="00F4228B">
        <w:rPr>
          <w:rFonts w:cs="Arial"/>
          <w:lang w:val="es-ES_tradnl"/>
        </w:rPr>
        <w:t>Oficina Internacional</w:t>
      </w:r>
      <w:r>
        <w:rPr>
          <w:rFonts w:cs="Arial"/>
          <w:lang w:val="es-ES_tradnl"/>
        </w:rPr>
        <w:t>.</w:t>
      </w:r>
    </w:p>
    <w:p w14:paraId="2B63D399" w14:textId="77777777" w:rsidR="000E77C3" w:rsidRDefault="000E77C3" w:rsidP="00BA032E">
      <w:pPr>
        <w:pStyle w:val="Textedebase"/>
        <w:rPr>
          <w:lang w:val="es-ES_tradnl"/>
        </w:rPr>
      </w:pPr>
    </w:p>
    <w:p w14:paraId="5D6EB81F" w14:textId="77777777" w:rsidR="00FD62A0" w:rsidRPr="00AC4B2B" w:rsidRDefault="00FD62A0" w:rsidP="00BA032E">
      <w:pPr>
        <w:pStyle w:val="Textedebase"/>
        <w:rPr>
          <w:lang w:val="es-ES_tradnl"/>
        </w:rPr>
      </w:pPr>
    </w:p>
    <w:sectPr w:rsidR="00FD62A0" w:rsidRPr="00AC4B2B" w:rsidSect="003118BD">
      <w:headerReference w:type="even" r:id="rId10"/>
      <w:headerReference w:type="default" r:id="rId11"/>
      <w:headerReference w:type="first" r:id="rId12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9C67B" w14:textId="77777777" w:rsidR="003D637E" w:rsidRDefault="003D637E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16800A1A" w14:textId="77777777" w:rsidR="003D637E" w:rsidRDefault="003D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A169E" w14:textId="77777777" w:rsidR="003D637E" w:rsidRDefault="003D637E" w:rsidP="009E7ADC">
      <w:pPr>
        <w:rPr>
          <w:sz w:val="18"/>
        </w:rPr>
      </w:pPr>
    </w:p>
  </w:footnote>
  <w:footnote w:type="continuationSeparator" w:id="0">
    <w:p w14:paraId="4F6EB8CF" w14:textId="77777777" w:rsidR="003D637E" w:rsidRDefault="003D637E" w:rsidP="009E7ADC"/>
  </w:footnote>
  <w:footnote w:type="continuationNotice" w:id="1">
    <w:p w14:paraId="6068F19B" w14:textId="77777777" w:rsidR="003D637E" w:rsidRDefault="003D637E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3D39F" w14:textId="77777777" w:rsidR="00527FF5" w:rsidRDefault="00527FF5">
    <w:pPr>
      <w:jc w:val="center"/>
    </w:pPr>
    <w:r>
      <w:pgNum/>
    </w:r>
  </w:p>
  <w:p w14:paraId="2B63D3A0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3D3A1" w14:textId="77777777" w:rsidR="00527FF5" w:rsidRDefault="00527FF5" w:rsidP="00F639BA">
    <w:pPr>
      <w:jc w:val="center"/>
    </w:pPr>
    <w:r>
      <w:pgNum/>
    </w:r>
  </w:p>
  <w:p w14:paraId="2B63D3A2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16D6E" w14:paraId="2B63D3A7" w14:textId="77777777">
      <w:trPr>
        <w:trHeight w:val="1418"/>
      </w:trPr>
      <w:tc>
        <w:tcPr>
          <w:tcW w:w="3969" w:type="dxa"/>
        </w:tcPr>
        <w:p w14:paraId="2B63D3A5" w14:textId="77777777" w:rsidR="00F87364" w:rsidRPr="00AC4B2B" w:rsidRDefault="008B0FE1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  <w:r w:rsidRPr="00AC4B2B">
            <w:rPr>
              <w:rFonts w:ascii="45 Helvetica Light" w:hAnsi="45 Helvetica Light"/>
              <w:noProof/>
              <w:sz w:val="18"/>
              <w:lang w:val="es-ES" w:eastAsia="es-ES"/>
            </w:rPr>
            <w:drawing>
              <wp:inline distT="0" distB="0" distL="0" distR="0" wp14:anchorId="2B63D3AA" wp14:editId="2B63D3AB">
                <wp:extent cx="1555607" cy="421485"/>
                <wp:effectExtent l="0" t="0" r="6985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es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607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2B63D3A6" w14:textId="1AEC96EF" w:rsidR="00F87364" w:rsidRPr="00AC4B2B" w:rsidRDefault="00AC4B2B" w:rsidP="00AC4B2B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AC4B2B">
            <w:rPr>
              <w:rFonts w:cs="Arial"/>
              <w:lang w:val="es-ES_tradnl"/>
            </w:rPr>
            <w:t>Anexo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030D8D">
            <w:rPr>
              <w:rFonts w:cs="Arial"/>
              <w:lang w:val="es-ES_tradnl"/>
            </w:rPr>
            <w:t>1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Pr="00AC4B2B">
            <w:rPr>
              <w:rFonts w:cs="Arial"/>
              <w:lang w:val="es-ES_tradnl"/>
            </w:rPr>
            <w:t>del oficio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D27F6C">
            <w:t>2102(DPRM.PPRE.CCA)</w:t>
          </w:r>
          <w:r w:rsidR="00F82626">
            <w:t>1034</w:t>
          </w:r>
          <w:r w:rsidR="001813EE" w:rsidRPr="00AC4B2B">
            <w:rPr>
              <w:rFonts w:cs="Arial"/>
              <w:lang w:val="es-ES_tradnl"/>
            </w:rPr>
            <w:br/>
          </w:r>
          <w:r w:rsidR="00376861" w:rsidRPr="00AC4B2B">
            <w:rPr>
              <w:rFonts w:cs="Arial"/>
              <w:lang w:val="es-ES_tradnl"/>
            </w:rPr>
            <w:t>d</w:t>
          </w:r>
          <w:r w:rsidRPr="00AC4B2B">
            <w:rPr>
              <w:rFonts w:cs="Arial"/>
              <w:lang w:val="es-ES_tradnl"/>
            </w:rPr>
            <w:t>el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7D5D4A">
            <w:rPr>
              <w:rFonts w:cs="Arial"/>
              <w:lang w:val="es-ES_tradnl"/>
            </w:rPr>
            <w:t>9</w:t>
          </w:r>
          <w:r w:rsidR="003E04E7">
            <w:rPr>
              <w:rFonts w:cs="Arial"/>
              <w:lang w:val="es-ES_tradnl"/>
            </w:rPr>
            <w:t xml:space="preserve"> de </w:t>
          </w:r>
          <w:r w:rsidR="00F82626">
            <w:rPr>
              <w:rFonts w:cs="Arial"/>
              <w:lang w:val="es-ES_tradnl"/>
            </w:rPr>
            <w:t>abril</w:t>
          </w:r>
          <w:r w:rsidR="003E04E7">
            <w:rPr>
              <w:rFonts w:cs="Arial"/>
              <w:lang w:val="es-ES_tradnl"/>
            </w:rPr>
            <w:t xml:space="preserve"> de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953938" w:rsidRPr="00AC4B2B">
            <w:rPr>
              <w:rFonts w:cs="Arial"/>
              <w:lang w:val="es-ES_tradnl"/>
            </w:rPr>
            <w:t>2</w:t>
          </w:r>
          <w:r w:rsidR="001813EE" w:rsidRPr="00AC4B2B">
            <w:rPr>
              <w:rFonts w:cs="Arial"/>
              <w:lang w:val="es-ES_tradnl"/>
            </w:rPr>
            <w:t>0</w:t>
          </w:r>
          <w:r w:rsidR="00022C62">
            <w:rPr>
              <w:rFonts w:cs="Arial"/>
              <w:lang w:val="es-ES_tradnl"/>
            </w:rPr>
            <w:t>2</w:t>
          </w:r>
          <w:r w:rsidR="00F82626">
            <w:rPr>
              <w:rFonts w:cs="Arial"/>
              <w:lang w:val="es-ES_tradnl"/>
            </w:rPr>
            <w:t>5</w:t>
          </w:r>
        </w:p>
      </w:tc>
    </w:tr>
  </w:tbl>
  <w:p w14:paraId="2B63D3A8" w14:textId="77777777" w:rsidR="003104EA" w:rsidRPr="00AC4B2B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983705832">
    <w:abstractNumId w:val="7"/>
  </w:num>
  <w:num w:numId="2" w16cid:durableId="764306346">
    <w:abstractNumId w:val="6"/>
  </w:num>
  <w:num w:numId="3" w16cid:durableId="721295997">
    <w:abstractNumId w:val="5"/>
  </w:num>
  <w:num w:numId="4" w16cid:durableId="1259171834">
    <w:abstractNumId w:val="4"/>
  </w:num>
  <w:num w:numId="5" w16cid:durableId="109671445">
    <w:abstractNumId w:val="8"/>
  </w:num>
  <w:num w:numId="6" w16cid:durableId="2076773999">
    <w:abstractNumId w:val="13"/>
  </w:num>
  <w:num w:numId="7" w16cid:durableId="1564101498">
    <w:abstractNumId w:val="14"/>
  </w:num>
  <w:num w:numId="8" w16cid:durableId="1458792619">
    <w:abstractNumId w:val="3"/>
  </w:num>
  <w:num w:numId="9" w16cid:durableId="1326284373">
    <w:abstractNumId w:val="1"/>
  </w:num>
  <w:num w:numId="10" w16cid:durableId="262611001">
    <w:abstractNumId w:val="10"/>
  </w:num>
  <w:num w:numId="11" w16cid:durableId="950287267">
    <w:abstractNumId w:val="9"/>
  </w:num>
  <w:num w:numId="12" w16cid:durableId="66460852">
    <w:abstractNumId w:val="12"/>
  </w:num>
  <w:num w:numId="13" w16cid:durableId="1788619498">
    <w:abstractNumId w:val="0"/>
  </w:num>
  <w:num w:numId="14" w16cid:durableId="649332067">
    <w:abstractNumId w:val="11"/>
  </w:num>
  <w:num w:numId="15" w16cid:durableId="672033923">
    <w:abstractNumId w:val="2"/>
  </w:num>
  <w:num w:numId="16" w16cid:durableId="1558786141">
    <w:abstractNumId w:val="11"/>
  </w:num>
  <w:num w:numId="17" w16cid:durableId="1159032757">
    <w:abstractNumId w:val="0"/>
  </w:num>
  <w:num w:numId="18" w16cid:durableId="1181429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FE1"/>
    <w:rsid w:val="000021DD"/>
    <w:rsid w:val="00004D2B"/>
    <w:rsid w:val="0002298F"/>
    <w:rsid w:val="00022C62"/>
    <w:rsid w:val="00023669"/>
    <w:rsid w:val="00026EC5"/>
    <w:rsid w:val="00030D8D"/>
    <w:rsid w:val="000465C9"/>
    <w:rsid w:val="000A7693"/>
    <w:rsid w:val="000B24C3"/>
    <w:rsid w:val="000D1BB1"/>
    <w:rsid w:val="000E0AB2"/>
    <w:rsid w:val="000E77C3"/>
    <w:rsid w:val="001006F4"/>
    <w:rsid w:val="00104F21"/>
    <w:rsid w:val="0011269C"/>
    <w:rsid w:val="00116D6E"/>
    <w:rsid w:val="00121A6F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751F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777F5"/>
    <w:rsid w:val="0039753D"/>
    <w:rsid w:val="003B1F46"/>
    <w:rsid w:val="003D637E"/>
    <w:rsid w:val="003E04E7"/>
    <w:rsid w:val="003F4AC5"/>
    <w:rsid w:val="00422F57"/>
    <w:rsid w:val="0046077D"/>
    <w:rsid w:val="004611D5"/>
    <w:rsid w:val="004669C2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4618C"/>
    <w:rsid w:val="00565476"/>
    <w:rsid w:val="00570EDB"/>
    <w:rsid w:val="005749CB"/>
    <w:rsid w:val="00577828"/>
    <w:rsid w:val="00590BBB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60040B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B7801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1F52"/>
    <w:rsid w:val="007A2839"/>
    <w:rsid w:val="007B6036"/>
    <w:rsid w:val="007C679A"/>
    <w:rsid w:val="007D07CD"/>
    <w:rsid w:val="007D2933"/>
    <w:rsid w:val="007D5D4A"/>
    <w:rsid w:val="007D6956"/>
    <w:rsid w:val="007E0A42"/>
    <w:rsid w:val="007F6E68"/>
    <w:rsid w:val="00845372"/>
    <w:rsid w:val="00857B50"/>
    <w:rsid w:val="0087570D"/>
    <w:rsid w:val="00894CD8"/>
    <w:rsid w:val="00897E26"/>
    <w:rsid w:val="008A32DA"/>
    <w:rsid w:val="008A5A68"/>
    <w:rsid w:val="008B0FE1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D93"/>
    <w:rsid w:val="00957FCD"/>
    <w:rsid w:val="00974119"/>
    <w:rsid w:val="009B449A"/>
    <w:rsid w:val="009C5BD0"/>
    <w:rsid w:val="009D77AD"/>
    <w:rsid w:val="009E4ABB"/>
    <w:rsid w:val="009E618A"/>
    <w:rsid w:val="009E7ADC"/>
    <w:rsid w:val="009F110E"/>
    <w:rsid w:val="009F1B4F"/>
    <w:rsid w:val="009F36E2"/>
    <w:rsid w:val="009F54AE"/>
    <w:rsid w:val="00A06C89"/>
    <w:rsid w:val="00A30A53"/>
    <w:rsid w:val="00A418A0"/>
    <w:rsid w:val="00A455D1"/>
    <w:rsid w:val="00A53E1E"/>
    <w:rsid w:val="00A5792F"/>
    <w:rsid w:val="00A6703E"/>
    <w:rsid w:val="00A73891"/>
    <w:rsid w:val="00A809D7"/>
    <w:rsid w:val="00A92377"/>
    <w:rsid w:val="00A95E0F"/>
    <w:rsid w:val="00AA01D2"/>
    <w:rsid w:val="00AA61ED"/>
    <w:rsid w:val="00AB7653"/>
    <w:rsid w:val="00AC2359"/>
    <w:rsid w:val="00AC4B2B"/>
    <w:rsid w:val="00AD155E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2794C"/>
    <w:rsid w:val="00C35110"/>
    <w:rsid w:val="00C402AE"/>
    <w:rsid w:val="00C74B88"/>
    <w:rsid w:val="00C903B8"/>
    <w:rsid w:val="00C91301"/>
    <w:rsid w:val="00C91C2F"/>
    <w:rsid w:val="00CA3D20"/>
    <w:rsid w:val="00CB0842"/>
    <w:rsid w:val="00CB2FA6"/>
    <w:rsid w:val="00CC0402"/>
    <w:rsid w:val="00CC3161"/>
    <w:rsid w:val="00CC7367"/>
    <w:rsid w:val="00CD03E7"/>
    <w:rsid w:val="00CD153A"/>
    <w:rsid w:val="00CE2270"/>
    <w:rsid w:val="00D154F8"/>
    <w:rsid w:val="00D27F6C"/>
    <w:rsid w:val="00D3589B"/>
    <w:rsid w:val="00D50254"/>
    <w:rsid w:val="00D55EB5"/>
    <w:rsid w:val="00D608B5"/>
    <w:rsid w:val="00D61B31"/>
    <w:rsid w:val="00D64064"/>
    <w:rsid w:val="00D66509"/>
    <w:rsid w:val="00D73262"/>
    <w:rsid w:val="00D73A0A"/>
    <w:rsid w:val="00D8339B"/>
    <w:rsid w:val="00DA23C3"/>
    <w:rsid w:val="00DA49AB"/>
    <w:rsid w:val="00DA646A"/>
    <w:rsid w:val="00DB6CC1"/>
    <w:rsid w:val="00DB7EC0"/>
    <w:rsid w:val="00DC06D4"/>
    <w:rsid w:val="00DC4D86"/>
    <w:rsid w:val="00E048A5"/>
    <w:rsid w:val="00E10CD5"/>
    <w:rsid w:val="00E270C8"/>
    <w:rsid w:val="00E31D00"/>
    <w:rsid w:val="00E3448B"/>
    <w:rsid w:val="00E41BFB"/>
    <w:rsid w:val="00E72B05"/>
    <w:rsid w:val="00E73D9D"/>
    <w:rsid w:val="00E76C5C"/>
    <w:rsid w:val="00ED183A"/>
    <w:rsid w:val="00ED63F7"/>
    <w:rsid w:val="00ED6707"/>
    <w:rsid w:val="00ED7E1E"/>
    <w:rsid w:val="00EE0550"/>
    <w:rsid w:val="00EE2A54"/>
    <w:rsid w:val="00F11A72"/>
    <w:rsid w:val="00F15EB7"/>
    <w:rsid w:val="00F33A54"/>
    <w:rsid w:val="00F37E9B"/>
    <w:rsid w:val="00F45DDB"/>
    <w:rsid w:val="00F521BF"/>
    <w:rsid w:val="00F6214A"/>
    <w:rsid w:val="00F62978"/>
    <w:rsid w:val="00F639BA"/>
    <w:rsid w:val="00F82626"/>
    <w:rsid w:val="00F848AD"/>
    <w:rsid w:val="00F87364"/>
    <w:rsid w:val="00F87A5B"/>
    <w:rsid w:val="00F963C3"/>
    <w:rsid w:val="00FA2EFC"/>
    <w:rsid w:val="00FC5E68"/>
    <w:rsid w:val="00FD4FD5"/>
    <w:rsid w:val="00FD62A0"/>
    <w:rsid w:val="00FE468C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63D399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val="fr-FR"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  <w:rPr>
      <w:lang w:val="es-ES"/>
    </w:r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fr-FR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3Textedebase">
    <w:name w:val="3 Texte de base"/>
    <w:basedOn w:val="Normal"/>
    <w:link w:val="3TextedebaseCar1"/>
    <w:rsid w:val="00FD62A0"/>
    <w:pPr>
      <w:tabs>
        <w:tab w:val="left" w:pos="851"/>
        <w:tab w:val="left" w:pos="1701"/>
        <w:tab w:val="left" w:pos="2552"/>
      </w:tabs>
      <w:spacing w:line="240" w:lineRule="atLeast"/>
      <w:jc w:val="both"/>
    </w:pPr>
    <w:rPr>
      <w:rFonts w:ascii="Bookman Old Style" w:hAnsi="Bookman Old Style"/>
    </w:rPr>
  </w:style>
  <w:style w:type="character" w:customStyle="1" w:styleId="3TextedebaseCar1">
    <w:name w:val="3 Texte de base Car1"/>
    <w:link w:val="3Textedebase"/>
    <w:rsid w:val="00FD62A0"/>
    <w:rPr>
      <w:rFonts w:ascii="Bookman Old Style" w:hAnsi="Bookman Old Style"/>
      <w:lang w:val="fr-FR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rchive\archives.es\2015%20STES%20Archivo\Modelos%20ES%202015\Generaux\FR%20Modeles\FR%20BI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E0742B-8DDF-4FFC-A92B-E65847FDDA41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customXml/itemProps2.xml><?xml version="1.0" encoding="utf-8"?>
<ds:datastoreItem xmlns:ds="http://schemas.openxmlformats.org/officeDocument/2006/customXml" ds:itemID="{B9F66326-5AA9-409D-BA2F-3696A3381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30B18-33DC-4BD0-BBC1-71267904B286}"/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41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Jimena Docampo</cp:lastModifiedBy>
  <cp:revision>33</cp:revision>
  <cp:lastPrinted>2009-02-19T13:40:00Z</cp:lastPrinted>
  <dcterms:created xsi:type="dcterms:W3CDTF">2015-02-19T17:04:00Z</dcterms:created>
  <dcterms:modified xsi:type="dcterms:W3CDTF">2025-04-09T13:24:00Z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Order">
    <vt:r8>11114800</vt:r8>
  </property>
</Properties>
</file>